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20501" w:rsidTr="007826A6">
        <w:tc>
          <w:tcPr>
            <w:tcW w:w="4621" w:type="dxa"/>
            <w:vMerge w:val="restart"/>
          </w:tcPr>
          <w:p w:rsidR="00A20501" w:rsidRDefault="00A20501" w:rsidP="007826A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DA010A" wp14:editId="3C66BFEA">
                  <wp:extent cx="2242800" cy="1569600"/>
                  <wp:effectExtent l="0" t="0" r="5715" b="0"/>
                  <wp:docPr id="1" name="Picture 1" descr="CEW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W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800" cy="156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A20501" w:rsidRPr="00B57CB0" w:rsidRDefault="00A20501" w:rsidP="007826A6">
            <w:pPr>
              <w:jc w:val="center"/>
              <w:rPr>
                <w:sz w:val="96"/>
              </w:rPr>
            </w:pPr>
            <w:r w:rsidRPr="00B57CB0">
              <w:rPr>
                <w:sz w:val="96"/>
              </w:rPr>
              <w:t>SOLAR PV</w:t>
            </w:r>
          </w:p>
          <w:p w:rsidR="00A20501" w:rsidRDefault="00A20501" w:rsidP="007826A6">
            <w:pPr>
              <w:jc w:val="center"/>
            </w:pPr>
            <w:r w:rsidRPr="00B57CB0">
              <w:rPr>
                <w:sz w:val="40"/>
              </w:rPr>
              <w:t>MONITORING REPORT</w:t>
            </w:r>
          </w:p>
        </w:tc>
      </w:tr>
      <w:tr w:rsidR="00A20501" w:rsidTr="007826A6">
        <w:tc>
          <w:tcPr>
            <w:tcW w:w="4621" w:type="dxa"/>
            <w:vMerge/>
          </w:tcPr>
          <w:p w:rsidR="00A20501" w:rsidRDefault="00A20501" w:rsidP="007826A6"/>
        </w:tc>
        <w:tc>
          <w:tcPr>
            <w:tcW w:w="4621" w:type="dxa"/>
            <w:vAlign w:val="bottom"/>
          </w:tcPr>
          <w:p w:rsidR="00A20501" w:rsidRDefault="0091690B" w:rsidP="007826A6">
            <w:pPr>
              <w:jc w:val="center"/>
            </w:pPr>
            <w:r>
              <w:rPr>
                <w:sz w:val="36"/>
              </w:rPr>
              <w:t>Novem</w:t>
            </w:r>
            <w:r w:rsidR="00253858">
              <w:rPr>
                <w:sz w:val="36"/>
              </w:rPr>
              <w:t>ber</w:t>
            </w:r>
            <w:r w:rsidR="00A20501" w:rsidRPr="00B57CB0">
              <w:rPr>
                <w:sz w:val="36"/>
              </w:rPr>
              <w:t xml:space="preserve"> 2013</w:t>
            </w:r>
          </w:p>
        </w:tc>
      </w:tr>
    </w:tbl>
    <w:p w:rsidR="001F7E74" w:rsidRDefault="001F7E74"/>
    <w:p w:rsidR="00A20501" w:rsidRDefault="00A20501">
      <w:pPr>
        <w:sectPr w:rsidR="00A205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Default="00A20501" w:rsidP="00A20501">
      <w:pPr>
        <w:rPr>
          <w:b/>
          <w:sz w:val="28"/>
        </w:rPr>
      </w:pPr>
    </w:p>
    <w:p w:rsidR="00A20501" w:rsidRPr="009D2395" w:rsidRDefault="0091690B" w:rsidP="00A20501">
      <w:pPr>
        <w:rPr>
          <w:b/>
          <w:sz w:val="28"/>
        </w:rPr>
      </w:pPr>
      <w:r>
        <w:rPr>
          <w:b/>
          <w:sz w:val="28"/>
        </w:rPr>
        <w:t>November 2013 – much like last year!</w:t>
      </w:r>
    </w:p>
    <w:p w:rsidR="00C335D6" w:rsidRDefault="0091690B" w:rsidP="00A20501">
      <w:pPr>
        <w:rPr>
          <w:sz w:val="24"/>
        </w:rPr>
      </w:pPr>
      <w:r>
        <w:rPr>
          <w:sz w:val="24"/>
        </w:rPr>
        <w:t>Total output from the solar PV arrays at Stratford and Warwick Hospitals in November 2013 was very similar to that in November 2012 – with the difference that output at Stratford was slightly lower than last year, while output at Warwick was slightly higher.</w:t>
      </w:r>
    </w:p>
    <w:p w:rsidR="00253858" w:rsidRPr="00C335D6" w:rsidRDefault="00253858" w:rsidP="00A20501">
      <w:pPr>
        <w:rPr>
          <w:sz w:val="24"/>
        </w:rPr>
        <w:sectPr w:rsidR="00253858" w:rsidRPr="00C335D6" w:rsidSect="00A2050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</w:t>
      </w:r>
      <w:r w:rsidR="009D1133">
        <w:rPr>
          <w:b/>
          <w:sz w:val="28"/>
        </w:rPr>
        <w:t xml:space="preserve">arwick Hospital – performance in </w:t>
      </w:r>
      <w:r w:rsidR="00851011">
        <w:rPr>
          <w:b/>
          <w:sz w:val="28"/>
        </w:rPr>
        <w:t>Novem</w:t>
      </w:r>
      <w:r w:rsidR="00253858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B5161D" w:rsidRDefault="00B12432" w:rsidP="00A20501">
      <w:pPr>
        <w:rPr>
          <w:sz w:val="24"/>
        </w:rPr>
      </w:pPr>
      <w:r>
        <w:rPr>
          <w:sz w:val="24"/>
        </w:rPr>
        <w:t>Output from</w:t>
      </w:r>
      <w:r w:rsidR="00A20501">
        <w:rPr>
          <w:sz w:val="24"/>
        </w:rPr>
        <w:t xml:space="preserve"> the solar PV array at Warwick Hospital </w:t>
      </w:r>
      <w:r w:rsidR="00E968E7">
        <w:rPr>
          <w:sz w:val="24"/>
        </w:rPr>
        <w:t>in</w:t>
      </w:r>
      <w:r w:rsidR="00E22EE7">
        <w:rPr>
          <w:sz w:val="24"/>
        </w:rPr>
        <w:t xml:space="preserve"> </w:t>
      </w:r>
      <w:r>
        <w:rPr>
          <w:sz w:val="24"/>
        </w:rPr>
        <w:t xml:space="preserve">November </w:t>
      </w:r>
      <w:r w:rsidR="00E22EE7">
        <w:rPr>
          <w:sz w:val="24"/>
        </w:rPr>
        <w:t xml:space="preserve">2013 </w:t>
      </w:r>
      <w:r>
        <w:rPr>
          <w:sz w:val="24"/>
        </w:rPr>
        <w:t>was 2 per cent higher than</w:t>
      </w:r>
      <w:r w:rsidR="00A20501">
        <w:rPr>
          <w:sz w:val="24"/>
        </w:rPr>
        <w:t xml:space="preserve"> in the same m</w:t>
      </w:r>
      <w:r w:rsidR="00E22EE7">
        <w:rPr>
          <w:sz w:val="24"/>
        </w:rPr>
        <w:t>onth last year. A tota</w:t>
      </w:r>
      <w:r w:rsidR="00E968E7">
        <w:rPr>
          <w:sz w:val="24"/>
        </w:rPr>
        <w:t>l o</w:t>
      </w:r>
      <w:r>
        <w:rPr>
          <w:sz w:val="24"/>
        </w:rPr>
        <w:t>f 1,729</w:t>
      </w:r>
      <w:r w:rsidR="00E968E7">
        <w:rPr>
          <w:sz w:val="24"/>
        </w:rPr>
        <w:t xml:space="preserve"> units </w:t>
      </w:r>
      <w:r w:rsidR="00A20501">
        <w:rPr>
          <w:sz w:val="24"/>
        </w:rPr>
        <w:t xml:space="preserve">were generated during the </w:t>
      </w:r>
      <w:r>
        <w:rPr>
          <w:sz w:val="24"/>
        </w:rPr>
        <w:t>month – an average of 57.6</w:t>
      </w:r>
      <w:r w:rsidR="00A20501">
        <w:rPr>
          <w:sz w:val="24"/>
        </w:rPr>
        <w:t xml:space="preserve"> units a day</w:t>
      </w:r>
      <w:r>
        <w:rPr>
          <w:sz w:val="24"/>
        </w:rPr>
        <w:t xml:space="preserve"> compared with a daily average of 56.4 units in 2012</w:t>
      </w:r>
      <w:r w:rsidR="00A20501">
        <w:rPr>
          <w:sz w:val="24"/>
        </w:rPr>
        <w:t xml:space="preserve">. </w:t>
      </w:r>
      <w:r w:rsidR="00A90132">
        <w:rPr>
          <w:sz w:val="24"/>
        </w:rPr>
        <w:t>Pea</w:t>
      </w:r>
      <w:r w:rsidR="003C56B4">
        <w:rPr>
          <w:sz w:val="24"/>
        </w:rPr>
        <w:t xml:space="preserve">k performance was on </w:t>
      </w:r>
      <w:r>
        <w:rPr>
          <w:sz w:val="24"/>
        </w:rPr>
        <w:t>10 Novem</w:t>
      </w:r>
      <w:r w:rsidR="00253858">
        <w:rPr>
          <w:sz w:val="24"/>
        </w:rPr>
        <w:t xml:space="preserve">ber </w:t>
      </w:r>
      <w:r>
        <w:rPr>
          <w:sz w:val="24"/>
        </w:rPr>
        <w:t>when 146.6</w:t>
      </w:r>
      <w:r w:rsidR="00A90132">
        <w:rPr>
          <w:sz w:val="24"/>
        </w:rPr>
        <w:t xml:space="preserve"> units were generated</w:t>
      </w:r>
      <w:r>
        <w:rPr>
          <w:sz w:val="24"/>
        </w:rPr>
        <w:t>: one of five days in the month when more than 100 units were generated (while 99.7 units were generated on a sixth day).</w:t>
      </w:r>
      <w:r w:rsidR="00253858">
        <w:rPr>
          <w:sz w:val="24"/>
        </w:rPr>
        <w:t xml:space="preserve"> </w:t>
      </w:r>
      <w:r>
        <w:rPr>
          <w:sz w:val="24"/>
        </w:rPr>
        <w:t>L</w:t>
      </w:r>
      <w:r w:rsidR="003C0476">
        <w:rPr>
          <w:sz w:val="24"/>
        </w:rPr>
        <w:t xml:space="preserve">owest </w:t>
      </w:r>
      <w:r w:rsidR="00253858">
        <w:rPr>
          <w:sz w:val="24"/>
        </w:rPr>
        <w:t xml:space="preserve">output </w:t>
      </w:r>
      <w:r w:rsidR="003C0476">
        <w:rPr>
          <w:sz w:val="24"/>
        </w:rPr>
        <w:t xml:space="preserve">for the month </w:t>
      </w:r>
      <w:r w:rsidR="00605678">
        <w:rPr>
          <w:sz w:val="24"/>
        </w:rPr>
        <w:t xml:space="preserve">was </w:t>
      </w:r>
      <w:r>
        <w:rPr>
          <w:sz w:val="24"/>
        </w:rPr>
        <w:t>the following day 11 November, when output fell to 13.4 units</w:t>
      </w:r>
      <w:r w:rsidR="00A90132">
        <w:rPr>
          <w:sz w:val="24"/>
        </w:rPr>
        <w:t>.</w:t>
      </w:r>
      <w:r w:rsidR="00FA1420">
        <w:rPr>
          <w:sz w:val="24"/>
        </w:rPr>
        <w:t xml:space="preserve"> </w:t>
      </w:r>
      <w:r>
        <w:rPr>
          <w:sz w:val="24"/>
        </w:rPr>
        <w:t>D</w:t>
      </w:r>
      <w:r w:rsidR="00A20501">
        <w:rPr>
          <w:sz w:val="24"/>
        </w:rPr>
        <w:t xml:space="preserve">aily output </w:t>
      </w:r>
      <w:r w:rsidR="00EB1892">
        <w:rPr>
          <w:sz w:val="24"/>
        </w:rPr>
        <w:t>fell below 5</w:t>
      </w:r>
      <w:r w:rsidR="00E968E7">
        <w:rPr>
          <w:sz w:val="24"/>
        </w:rPr>
        <w:t>0 units</w:t>
      </w:r>
      <w:r w:rsidR="00253858">
        <w:rPr>
          <w:sz w:val="24"/>
        </w:rPr>
        <w:t xml:space="preserve"> </w:t>
      </w:r>
      <w:r>
        <w:rPr>
          <w:sz w:val="24"/>
        </w:rPr>
        <w:t>on 16</w:t>
      </w:r>
      <w:r w:rsidR="00EB1892">
        <w:rPr>
          <w:sz w:val="24"/>
        </w:rPr>
        <w:t xml:space="preserve"> days</w:t>
      </w:r>
      <w:r>
        <w:rPr>
          <w:sz w:val="24"/>
        </w:rPr>
        <w:t xml:space="preserve"> – more than half the m</w:t>
      </w:r>
      <w:r w:rsidR="0032024C">
        <w:rPr>
          <w:sz w:val="24"/>
        </w:rPr>
        <w:t>onth -</w:t>
      </w:r>
      <w:r>
        <w:rPr>
          <w:sz w:val="24"/>
        </w:rPr>
        <w:t xml:space="preserve"> and fell below 20 units three times</w:t>
      </w:r>
      <w:r w:rsidR="00B5161D">
        <w:rPr>
          <w:sz w:val="24"/>
        </w:rPr>
        <w:t>.</w:t>
      </w:r>
    </w:p>
    <w:p w:rsidR="00A20501" w:rsidRDefault="00A20501" w:rsidP="00A20501">
      <w:pPr>
        <w:rPr>
          <w:sz w:val="24"/>
        </w:rPr>
      </w:pPr>
    </w:p>
    <w:p w:rsidR="003C56B4" w:rsidRDefault="003C56B4" w:rsidP="00E22EE7">
      <w:pPr>
        <w:jc w:val="center"/>
        <w:rPr>
          <w:sz w:val="24"/>
          <w:u w:val="single"/>
        </w:rPr>
      </w:pPr>
    </w:p>
    <w:p w:rsidR="00A20501" w:rsidRDefault="00A20501" w:rsidP="00E22EE7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lastRenderedPageBreak/>
        <w:t>Daily output: Warw</w:t>
      </w:r>
      <w:r>
        <w:rPr>
          <w:sz w:val="24"/>
          <w:u w:val="single"/>
        </w:rPr>
        <w:t xml:space="preserve">ick Hospital </w:t>
      </w:r>
      <w:r w:rsidR="00851011">
        <w:rPr>
          <w:sz w:val="24"/>
          <w:u w:val="single"/>
        </w:rPr>
        <w:t>Novem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851011">
        <w:rPr>
          <w:sz w:val="24"/>
          <w:u w:val="single"/>
        </w:rPr>
        <w:t>Novem</w:t>
      </w:r>
      <w:r w:rsidR="00B5161D">
        <w:rPr>
          <w:sz w:val="24"/>
          <w:u w:val="single"/>
        </w:rPr>
        <w:t>ber</w:t>
      </w:r>
      <w:r w:rsidR="00C335D6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9D1133" w:rsidRPr="009D1133" w:rsidRDefault="009D1133" w:rsidP="00E22EE7">
      <w:pPr>
        <w:jc w:val="center"/>
        <w:rPr>
          <w:sz w:val="16"/>
          <w:u w:val="single"/>
        </w:rPr>
      </w:pPr>
    </w:p>
    <w:p w:rsidR="00A20501" w:rsidRDefault="00B12432" w:rsidP="00A20501">
      <w:pPr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5E0D61E0" wp14:editId="7A814EA7">
            <wp:extent cx="2959200" cy="1746000"/>
            <wp:effectExtent l="0" t="0" r="12700" b="26035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A73B5" w:rsidRDefault="00EB1892" w:rsidP="006A69B4">
      <w:pPr>
        <w:spacing w:before="360"/>
        <w:rPr>
          <w:sz w:val="24"/>
        </w:rPr>
      </w:pPr>
      <w:r>
        <w:rPr>
          <w:sz w:val="24"/>
        </w:rPr>
        <w:t>Daily g</w:t>
      </w:r>
      <w:r w:rsidR="00E968E7">
        <w:rPr>
          <w:sz w:val="24"/>
        </w:rPr>
        <w:t>e</w:t>
      </w:r>
      <w:r w:rsidR="00A74B34">
        <w:rPr>
          <w:sz w:val="24"/>
        </w:rPr>
        <w:t>ne</w:t>
      </w:r>
      <w:r w:rsidR="00B5161D">
        <w:rPr>
          <w:sz w:val="24"/>
        </w:rPr>
        <w:t xml:space="preserve">ration during </w:t>
      </w:r>
      <w:r w:rsidR="00B12432">
        <w:rPr>
          <w:sz w:val="24"/>
        </w:rPr>
        <w:t>Novem</w:t>
      </w:r>
      <w:r>
        <w:rPr>
          <w:sz w:val="24"/>
        </w:rPr>
        <w:t>b</w:t>
      </w:r>
      <w:r w:rsidR="00B5161D">
        <w:rPr>
          <w:sz w:val="24"/>
        </w:rPr>
        <w:t xml:space="preserve">er 2013 </w:t>
      </w:r>
      <w:r>
        <w:rPr>
          <w:sz w:val="24"/>
        </w:rPr>
        <w:t xml:space="preserve">was </w:t>
      </w:r>
      <w:r w:rsidR="00B12432">
        <w:rPr>
          <w:sz w:val="24"/>
        </w:rPr>
        <w:t>30 pe</w:t>
      </w:r>
      <w:r w:rsidR="00860E32">
        <w:rPr>
          <w:sz w:val="24"/>
        </w:rPr>
        <w:t>r cent less than in October and</w:t>
      </w:r>
      <w:r w:rsidR="00B12432">
        <w:rPr>
          <w:sz w:val="24"/>
        </w:rPr>
        <w:t xml:space="preserve"> </w:t>
      </w:r>
      <w:r>
        <w:rPr>
          <w:sz w:val="24"/>
        </w:rPr>
        <w:t xml:space="preserve">less than </w:t>
      </w:r>
      <w:r w:rsidR="00860E32">
        <w:rPr>
          <w:sz w:val="24"/>
        </w:rPr>
        <w:t>a quarter</w:t>
      </w:r>
      <w:r>
        <w:rPr>
          <w:sz w:val="24"/>
        </w:rPr>
        <w:t xml:space="preserve"> the level</w:t>
      </w:r>
      <w:r w:rsidR="00860E32">
        <w:rPr>
          <w:sz w:val="24"/>
        </w:rPr>
        <w:t xml:space="preserve"> seen during July. A run of cloudy days towards the end of the month saw just 150 units generated over the course of six days.</w:t>
      </w:r>
    </w:p>
    <w:p w:rsidR="00931068" w:rsidRDefault="00931068" w:rsidP="006A69B4">
      <w:pPr>
        <w:spacing w:before="360"/>
        <w:rPr>
          <w:sz w:val="24"/>
        </w:rPr>
      </w:pPr>
    </w:p>
    <w:p w:rsidR="00B5161D" w:rsidRDefault="00B5161D" w:rsidP="006A69B4">
      <w:pPr>
        <w:spacing w:before="360"/>
        <w:rPr>
          <w:sz w:val="24"/>
        </w:rPr>
      </w:pPr>
    </w:p>
    <w:p w:rsidR="00A20501" w:rsidRPr="009D2395" w:rsidRDefault="00A20501" w:rsidP="00A20501">
      <w:pPr>
        <w:rPr>
          <w:b/>
          <w:sz w:val="28"/>
        </w:rPr>
      </w:pPr>
      <w:r w:rsidRPr="009D2395">
        <w:rPr>
          <w:b/>
          <w:sz w:val="28"/>
        </w:rPr>
        <w:lastRenderedPageBreak/>
        <w:t>Warwick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20501" w:rsidRPr="00551BE4" w:rsidRDefault="00860E32" w:rsidP="00A20501">
      <w:pPr>
        <w:rPr>
          <w:sz w:val="24"/>
        </w:rPr>
      </w:pPr>
      <w:r>
        <w:rPr>
          <w:sz w:val="24"/>
        </w:rPr>
        <w:t>In the first elev</w:t>
      </w:r>
      <w:r w:rsidR="00EB1892">
        <w:rPr>
          <w:sz w:val="24"/>
        </w:rPr>
        <w:t>en</w:t>
      </w:r>
      <w:r w:rsidR="00A20501" w:rsidRPr="00551BE4">
        <w:rPr>
          <w:sz w:val="24"/>
        </w:rPr>
        <w:t xml:space="preserve"> mon</w:t>
      </w:r>
      <w:r w:rsidR="00A20501">
        <w:rPr>
          <w:sz w:val="24"/>
        </w:rPr>
        <w:t>ths of 2013, the solar PV array at Warwick Hospital has</w:t>
      </w:r>
      <w:r w:rsidR="002623C9">
        <w:rPr>
          <w:sz w:val="24"/>
        </w:rPr>
        <w:t xml:space="preserve"> </w:t>
      </w:r>
      <w:r>
        <w:rPr>
          <w:sz w:val="24"/>
        </w:rPr>
        <w:t>generated a total of 46</w:t>
      </w:r>
      <w:r w:rsidR="00EB1892">
        <w:rPr>
          <w:sz w:val="24"/>
        </w:rPr>
        <w:t>,</w:t>
      </w:r>
      <w:r>
        <w:rPr>
          <w:sz w:val="24"/>
        </w:rPr>
        <w:t>475</w:t>
      </w:r>
      <w:r w:rsidR="009D1133">
        <w:rPr>
          <w:sz w:val="24"/>
        </w:rPr>
        <w:t xml:space="preserve"> units</w:t>
      </w:r>
      <w:r>
        <w:rPr>
          <w:sz w:val="24"/>
        </w:rPr>
        <w:t>, saving over 23</w:t>
      </w:r>
      <w:r w:rsidR="00A20501" w:rsidRPr="00551BE4">
        <w:rPr>
          <w:sz w:val="24"/>
        </w:rPr>
        <w:t xml:space="preserve"> tonnes of carbon. The graph below shows the average</w:t>
      </w:r>
      <w:r w:rsidR="002623C9">
        <w:rPr>
          <w:sz w:val="24"/>
        </w:rPr>
        <w:t xml:space="preserve"> daily output in the first </w:t>
      </w:r>
      <w:r>
        <w:rPr>
          <w:sz w:val="24"/>
        </w:rPr>
        <w:t>elev</w:t>
      </w:r>
      <w:r w:rsidR="00EB1892">
        <w:rPr>
          <w:sz w:val="24"/>
        </w:rPr>
        <w:t>en</w:t>
      </w:r>
      <w:r w:rsidR="002623C9">
        <w:rPr>
          <w:sz w:val="24"/>
        </w:rPr>
        <w:t xml:space="preserve"> months</w:t>
      </w:r>
      <w:r w:rsidR="00A20501" w:rsidRPr="00551BE4">
        <w:rPr>
          <w:sz w:val="24"/>
        </w:rPr>
        <w:t xml:space="preserve"> of the year, with average daily output for 2012 shown for comparison. Note there is no data for January 2012, and data for February 2012 is for 12-29 February only.</w:t>
      </w:r>
    </w:p>
    <w:p w:rsidR="00A20501" w:rsidRDefault="00A20501" w:rsidP="00A20501">
      <w:pPr>
        <w:jc w:val="center"/>
        <w:rPr>
          <w:sz w:val="24"/>
          <w:u w:val="single"/>
        </w:rPr>
      </w:pPr>
      <w:r w:rsidRPr="00551BE4">
        <w:rPr>
          <w:sz w:val="24"/>
          <w:u w:val="single"/>
        </w:rPr>
        <w:t xml:space="preserve">Average daily output by month: </w:t>
      </w:r>
      <w:r w:rsidR="00A74B34">
        <w:rPr>
          <w:sz w:val="24"/>
          <w:u w:val="single"/>
        </w:rPr>
        <w:t xml:space="preserve">Warwick Hospital January – </w:t>
      </w:r>
      <w:r w:rsidR="00851011">
        <w:rPr>
          <w:sz w:val="24"/>
          <w:u w:val="single"/>
        </w:rPr>
        <w:t>Novem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2013</w:t>
      </w:r>
    </w:p>
    <w:p w:rsidR="00A20501" w:rsidRPr="009D1133" w:rsidRDefault="00A20501" w:rsidP="00A20501">
      <w:pPr>
        <w:jc w:val="center"/>
        <w:rPr>
          <w:sz w:val="16"/>
          <w:u w:val="single"/>
        </w:rPr>
      </w:pPr>
    </w:p>
    <w:p w:rsidR="00A20501" w:rsidRDefault="00860E32" w:rsidP="00A20501">
      <w:pPr>
        <w:jc w:val="center"/>
      </w:pPr>
      <w:r>
        <w:rPr>
          <w:noProof/>
          <w:lang w:eastAsia="en-GB"/>
        </w:rPr>
        <w:drawing>
          <wp:inline distT="0" distB="0" distL="0" distR="0" wp14:anchorId="4E5A4C60" wp14:editId="632A4850">
            <wp:extent cx="2826000" cy="1695600"/>
            <wp:effectExtent l="0" t="0" r="12700" b="19050"/>
            <wp:docPr id="6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0501" w:rsidRPr="006A69B4" w:rsidRDefault="00A20501" w:rsidP="00A20501">
      <w:pPr>
        <w:rPr>
          <w:sz w:val="16"/>
        </w:rPr>
      </w:pPr>
    </w:p>
    <w:p w:rsidR="00273086" w:rsidRPr="009D2395" w:rsidRDefault="00273086" w:rsidP="00273086">
      <w:pPr>
        <w:rPr>
          <w:b/>
          <w:sz w:val="28"/>
        </w:rPr>
      </w:pPr>
      <w:r>
        <w:rPr>
          <w:b/>
          <w:sz w:val="28"/>
        </w:rPr>
        <w:t xml:space="preserve">Stratford </w:t>
      </w:r>
      <w:r w:rsidR="00EB1892">
        <w:rPr>
          <w:b/>
          <w:sz w:val="28"/>
        </w:rPr>
        <w:t>Hospi</w:t>
      </w:r>
      <w:r w:rsidR="00851011">
        <w:rPr>
          <w:b/>
          <w:sz w:val="28"/>
        </w:rPr>
        <w:t>tal – performance in Novem</w:t>
      </w:r>
      <w:r w:rsidR="00B5161D">
        <w:rPr>
          <w:b/>
          <w:sz w:val="28"/>
        </w:rPr>
        <w:t>ber</w:t>
      </w:r>
      <w:r w:rsidRPr="009D2395">
        <w:rPr>
          <w:b/>
          <w:sz w:val="28"/>
        </w:rPr>
        <w:t xml:space="preserve"> 2013</w:t>
      </w:r>
    </w:p>
    <w:p w:rsidR="0065119A" w:rsidRDefault="0065119A" w:rsidP="00273086">
      <w:pPr>
        <w:rPr>
          <w:sz w:val="24"/>
        </w:rPr>
      </w:pPr>
      <w:r>
        <w:rPr>
          <w:sz w:val="24"/>
        </w:rPr>
        <w:t>In Novem</w:t>
      </w:r>
      <w:r w:rsidR="00B5161D">
        <w:rPr>
          <w:sz w:val="24"/>
        </w:rPr>
        <w:t>ber</w:t>
      </w:r>
      <w:r w:rsidR="00273086">
        <w:rPr>
          <w:sz w:val="24"/>
        </w:rPr>
        <w:t xml:space="preserve"> 2013 the solar PV arr</w:t>
      </w:r>
      <w:r w:rsidR="002F6364">
        <w:rPr>
          <w:sz w:val="24"/>
        </w:rPr>
        <w:t xml:space="preserve">ay at Stratford </w:t>
      </w:r>
      <w:r w:rsidR="00A74B34">
        <w:rPr>
          <w:sz w:val="24"/>
        </w:rPr>
        <w:t xml:space="preserve">Hospital </w:t>
      </w:r>
      <w:r w:rsidR="002F6364">
        <w:rPr>
          <w:sz w:val="24"/>
        </w:rPr>
        <w:t>genera</w:t>
      </w:r>
      <w:r w:rsidR="002623C9">
        <w:rPr>
          <w:sz w:val="24"/>
        </w:rPr>
        <w:t xml:space="preserve">ted a </w:t>
      </w:r>
      <w:r w:rsidR="00860E32">
        <w:rPr>
          <w:sz w:val="24"/>
        </w:rPr>
        <w:t>total of 347</w:t>
      </w:r>
      <w:r w:rsidR="00A74B34">
        <w:rPr>
          <w:sz w:val="24"/>
        </w:rPr>
        <w:t xml:space="preserve"> units of electricity - a</w:t>
      </w:r>
      <w:r w:rsidR="00273086">
        <w:rPr>
          <w:sz w:val="24"/>
        </w:rPr>
        <w:t>n avera</w:t>
      </w:r>
      <w:r w:rsidR="002623C9">
        <w:rPr>
          <w:sz w:val="24"/>
        </w:rPr>
        <w:t xml:space="preserve">ge </w:t>
      </w:r>
      <w:r w:rsidR="00860E32">
        <w:rPr>
          <w:sz w:val="24"/>
        </w:rPr>
        <w:t>of 11.6</w:t>
      </w:r>
      <w:r w:rsidR="00273086">
        <w:rPr>
          <w:sz w:val="24"/>
        </w:rPr>
        <w:t xml:space="preserve"> units a day. </w:t>
      </w:r>
      <w:r w:rsidR="00A74B34">
        <w:rPr>
          <w:sz w:val="24"/>
        </w:rPr>
        <w:t xml:space="preserve">This was </w:t>
      </w:r>
      <w:r w:rsidR="00860E32">
        <w:rPr>
          <w:sz w:val="24"/>
        </w:rPr>
        <w:t>just 1 unit</w:t>
      </w:r>
      <w:r w:rsidR="00A74B34">
        <w:rPr>
          <w:sz w:val="24"/>
        </w:rPr>
        <w:t xml:space="preserve"> less than</w:t>
      </w:r>
      <w:bookmarkStart w:id="0" w:name="_GoBack"/>
      <w:bookmarkEnd w:id="0"/>
      <w:r w:rsidR="00A74B34">
        <w:rPr>
          <w:sz w:val="24"/>
        </w:rPr>
        <w:t xml:space="preserve"> the total generated in in </w:t>
      </w:r>
      <w:r>
        <w:rPr>
          <w:sz w:val="24"/>
        </w:rPr>
        <w:t>Novem</w:t>
      </w:r>
      <w:r w:rsidR="00EB1892">
        <w:rPr>
          <w:sz w:val="24"/>
        </w:rPr>
        <w:t>b</w:t>
      </w:r>
      <w:r w:rsidR="00860E32">
        <w:rPr>
          <w:sz w:val="24"/>
        </w:rPr>
        <w:t xml:space="preserve">er 2012. </w:t>
      </w:r>
    </w:p>
    <w:p w:rsidR="00273086" w:rsidRDefault="00860E32" w:rsidP="00273086">
      <w:pPr>
        <w:rPr>
          <w:sz w:val="24"/>
        </w:rPr>
      </w:pPr>
      <w:r>
        <w:rPr>
          <w:sz w:val="24"/>
        </w:rPr>
        <w:t>Highest output was 25.8 units on 3 Novem</w:t>
      </w:r>
      <w:r w:rsidR="00B5161D">
        <w:rPr>
          <w:sz w:val="24"/>
        </w:rPr>
        <w:t>ber</w:t>
      </w:r>
      <w:r w:rsidR="003C315E">
        <w:rPr>
          <w:sz w:val="24"/>
        </w:rPr>
        <w:t>; l</w:t>
      </w:r>
      <w:r w:rsidR="009D1133">
        <w:rPr>
          <w:sz w:val="24"/>
        </w:rPr>
        <w:t>owest</w:t>
      </w:r>
      <w:r w:rsidR="006A69B4">
        <w:rPr>
          <w:sz w:val="24"/>
        </w:rPr>
        <w:t xml:space="preserve"> </w:t>
      </w:r>
      <w:r w:rsidR="00EB1892">
        <w:rPr>
          <w:sz w:val="24"/>
        </w:rPr>
        <w:t>out</w:t>
      </w:r>
      <w:r>
        <w:rPr>
          <w:sz w:val="24"/>
        </w:rPr>
        <w:t xml:space="preserve">put was </w:t>
      </w:r>
      <w:r w:rsidR="00EB1892">
        <w:rPr>
          <w:sz w:val="24"/>
        </w:rPr>
        <w:t>2</w:t>
      </w:r>
      <w:r>
        <w:rPr>
          <w:sz w:val="24"/>
        </w:rPr>
        <w:t>.8</w:t>
      </w:r>
      <w:r w:rsidR="002F6364">
        <w:rPr>
          <w:sz w:val="24"/>
        </w:rPr>
        <w:t xml:space="preserve"> units on </w:t>
      </w:r>
      <w:r w:rsidR="00EB1892">
        <w:rPr>
          <w:sz w:val="24"/>
        </w:rPr>
        <w:t>1</w:t>
      </w:r>
      <w:r>
        <w:rPr>
          <w:sz w:val="24"/>
        </w:rPr>
        <w:t>8 Novem</w:t>
      </w:r>
      <w:r w:rsidR="00EB1892">
        <w:rPr>
          <w:sz w:val="24"/>
        </w:rPr>
        <w:t>ber</w:t>
      </w:r>
      <w:r w:rsidR="00355A97">
        <w:rPr>
          <w:sz w:val="24"/>
        </w:rPr>
        <w:t xml:space="preserve">. </w:t>
      </w:r>
      <w:r w:rsidR="00825FA8">
        <w:rPr>
          <w:sz w:val="24"/>
        </w:rPr>
        <w:t>Daily</w:t>
      </w:r>
      <w:r>
        <w:rPr>
          <w:sz w:val="24"/>
        </w:rPr>
        <w:t xml:space="preserve"> output was above 20 units on just 5</w:t>
      </w:r>
      <w:r w:rsidR="00355A97">
        <w:rPr>
          <w:sz w:val="24"/>
        </w:rPr>
        <w:t xml:space="preserve"> day</w:t>
      </w:r>
      <w:r>
        <w:rPr>
          <w:sz w:val="24"/>
        </w:rPr>
        <w:t>s</w:t>
      </w:r>
      <w:r w:rsidR="00355A97">
        <w:rPr>
          <w:sz w:val="24"/>
        </w:rPr>
        <w:t xml:space="preserve"> </w:t>
      </w:r>
      <w:r>
        <w:rPr>
          <w:sz w:val="24"/>
        </w:rPr>
        <w:t>(</w:t>
      </w:r>
      <w:r w:rsidR="00355A97">
        <w:rPr>
          <w:sz w:val="24"/>
        </w:rPr>
        <w:t xml:space="preserve">and </w:t>
      </w:r>
      <w:r>
        <w:rPr>
          <w:sz w:val="24"/>
        </w:rPr>
        <w:t>reached 19.8 units on a sixth day)</w:t>
      </w:r>
      <w:r w:rsidR="00825FA8">
        <w:rPr>
          <w:sz w:val="24"/>
        </w:rPr>
        <w:t>.</w:t>
      </w:r>
      <w:r>
        <w:rPr>
          <w:sz w:val="24"/>
        </w:rPr>
        <w:t xml:space="preserve"> Output was below 10 </w:t>
      </w:r>
      <w:r>
        <w:rPr>
          <w:sz w:val="24"/>
        </w:rPr>
        <w:lastRenderedPageBreak/>
        <w:t>units 15 times and below 5 units on 9 days.</w:t>
      </w:r>
      <w:r w:rsidR="0065119A">
        <w:rPr>
          <w:sz w:val="24"/>
        </w:rPr>
        <w:t xml:space="preserve"> </w:t>
      </w:r>
      <w:r w:rsidR="00273086">
        <w:rPr>
          <w:sz w:val="24"/>
        </w:rPr>
        <w:t>Ge</w:t>
      </w:r>
      <w:r w:rsidR="00355A97">
        <w:rPr>
          <w:sz w:val="24"/>
        </w:rPr>
        <w:t xml:space="preserve">neration during </w:t>
      </w:r>
      <w:r>
        <w:rPr>
          <w:sz w:val="24"/>
        </w:rPr>
        <w:t>Novem</w:t>
      </w:r>
      <w:r w:rsidR="00B5161D">
        <w:rPr>
          <w:sz w:val="24"/>
        </w:rPr>
        <w:t>ber 2013 was</w:t>
      </w:r>
      <w:r w:rsidR="0065119A">
        <w:rPr>
          <w:sz w:val="24"/>
        </w:rPr>
        <w:t xml:space="preserve"> a third below that seen in October and less than a quarter the level seen in July 2013.</w:t>
      </w:r>
    </w:p>
    <w:p w:rsidR="00273086" w:rsidRDefault="00273086" w:rsidP="00273086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Daily output: Stratford upon Avon Hospital </w:t>
      </w:r>
      <w:r w:rsidR="00851011">
        <w:rPr>
          <w:sz w:val="24"/>
          <w:u w:val="single"/>
        </w:rPr>
        <w:t>Novem</w:t>
      </w:r>
      <w:r w:rsidR="00B5161D">
        <w:rPr>
          <w:sz w:val="24"/>
          <w:u w:val="single"/>
        </w:rPr>
        <w:t>ber</w:t>
      </w:r>
      <w:r w:rsidRPr="00551BE4">
        <w:rPr>
          <w:sz w:val="24"/>
          <w:u w:val="single"/>
        </w:rPr>
        <w:t xml:space="preserve"> 2012 </w:t>
      </w:r>
      <w:r w:rsidR="00FA1420">
        <w:rPr>
          <w:sz w:val="24"/>
          <w:u w:val="single"/>
        </w:rPr>
        <w:t>(green</w:t>
      </w:r>
      <w:r>
        <w:rPr>
          <w:sz w:val="24"/>
          <w:u w:val="single"/>
        </w:rPr>
        <w:t xml:space="preserve">) </w:t>
      </w:r>
      <w:r w:rsidRPr="00551BE4">
        <w:rPr>
          <w:sz w:val="24"/>
          <w:u w:val="single"/>
        </w:rPr>
        <w:t xml:space="preserve">&amp; </w:t>
      </w:r>
      <w:r w:rsidR="00851011">
        <w:rPr>
          <w:sz w:val="24"/>
          <w:u w:val="single"/>
        </w:rPr>
        <w:t>Novem</w:t>
      </w:r>
      <w:r w:rsidR="00B5161D">
        <w:rPr>
          <w:sz w:val="24"/>
          <w:u w:val="single"/>
        </w:rPr>
        <w:t>ber</w:t>
      </w:r>
      <w:r w:rsidR="00825FA8">
        <w:rPr>
          <w:sz w:val="24"/>
          <w:u w:val="single"/>
        </w:rPr>
        <w:t xml:space="preserve"> </w:t>
      </w:r>
      <w:r w:rsidRPr="00551BE4">
        <w:rPr>
          <w:sz w:val="24"/>
          <w:u w:val="single"/>
        </w:rPr>
        <w:t>2013</w:t>
      </w:r>
      <w:r>
        <w:rPr>
          <w:sz w:val="24"/>
          <w:u w:val="single"/>
        </w:rPr>
        <w:t xml:space="preserve"> (blue)</w:t>
      </w:r>
    </w:p>
    <w:p w:rsidR="00A20501" w:rsidRPr="00FA73B5" w:rsidRDefault="00A20501" w:rsidP="00A20501">
      <w:pPr>
        <w:rPr>
          <w:sz w:val="16"/>
        </w:rPr>
      </w:pPr>
    </w:p>
    <w:p w:rsidR="00A20501" w:rsidRDefault="0065119A" w:rsidP="00355A97">
      <w:pPr>
        <w:jc w:val="center"/>
      </w:pPr>
      <w:r>
        <w:rPr>
          <w:noProof/>
          <w:lang w:eastAsia="en-GB"/>
        </w:rPr>
        <w:drawing>
          <wp:inline distT="0" distB="0" distL="0" distR="0" wp14:anchorId="24CB93AB" wp14:editId="08208A55">
            <wp:extent cx="2851200" cy="1710000"/>
            <wp:effectExtent l="0" t="0" r="25400" b="2413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69B4" w:rsidRPr="006A69B4" w:rsidRDefault="006A69B4" w:rsidP="006A69B4">
      <w:pPr>
        <w:rPr>
          <w:b/>
          <w:sz w:val="16"/>
        </w:rPr>
      </w:pPr>
    </w:p>
    <w:p w:rsidR="006A69B4" w:rsidRPr="009D2395" w:rsidRDefault="006A69B4" w:rsidP="006A69B4">
      <w:pPr>
        <w:rPr>
          <w:b/>
          <w:sz w:val="28"/>
        </w:rPr>
      </w:pPr>
      <w:r>
        <w:rPr>
          <w:b/>
          <w:sz w:val="28"/>
        </w:rPr>
        <w:t>Stratford</w:t>
      </w:r>
      <w:r w:rsidRPr="009D2395">
        <w:rPr>
          <w:b/>
          <w:sz w:val="28"/>
        </w:rPr>
        <w:t xml:space="preserve"> Hospital –</w:t>
      </w:r>
      <w:r>
        <w:rPr>
          <w:b/>
          <w:sz w:val="28"/>
        </w:rPr>
        <w:t xml:space="preserve"> generation to date in </w:t>
      </w:r>
      <w:r w:rsidRPr="009D2395">
        <w:rPr>
          <w:b/>
          <w:sz w:val="28"/>
        </w:rPr>
        <w:t>2013</w:t>
      </w:r>
    </w:p>
    <w:p w:rsidR="00A716D2" w:rsidRPr="00FA73B5" w:rsidRDefault="0065119A" w:rsidP="006A69B4">
      <w:pPr>
        <w:rPr>
          <w:sz w:val="16"/>
        </w:rPr>
      </w:pPr>
      <w:r>
        <w:rPr>
          <w:sz w:val="24"/>
        </w:rPr>
        <w:t>In the first elev</w:t>
      </w:r>
      <w:r w:rsidR="00355A97">
        <w:rPr>
          <w:sz w:val="24"/>
        </w:rPr>
        <w:t>en</w:t>
      </w:r>
      <w:r w:rsidR="006A69B4" w:rsidRPr="00551BE4">
        <w:rPr>
          <w:sz w:val="24"/>
        </w:rPr>
        <w:t xml:space="preserve"> mon</w:t>
      </w:r>
      <w:r w:rsidR="006A69B4">
        <w:rPr>
          <w:sz w:val="24"/>
        </w:rPr>
        <w:t>ths of 2013, the solar PV array</w:t>
      </w:r>
      <w:r w:rsidR="00DD7E0E">
        <w:rPr>
          <w:sz w:val="24"/>
        </w:rPr>
        <w:t xml:space="preserve"> at Stratford</w:t>
      </w:r>
      <w:r w:rsidR="006A69B4">
        <w:rPr>
          <w:sz w:val="24"/>
        </w:rPr>
        <w:t xml:space="preserve"> Hospital has</w:t>
      </w:r>
      <w:r w:rsidR="00825FA8">
        <w:rPr>
          <w:sz w:val="24"/>
        </w:rPr>
        <w:t xml:space="preserve"> generated </w:t>
      </w:r>
      <w:r>
        <w:rPr>
          <w:sz w:val="24"/>
        </w:rPr>
        <w:t>nearly 9,57</w:t>
      </w:r>
      <w:r w:rsidR="00F649A7">
        <w:rPr>
          <w:sz w:val="24"/>
        </w:rPr>
        <w:t>0</w:t>
      </w:r>
      <w:r w:rsidR="006A69B4">
        <w:rPr>
          <w:sz w:val="24"/>
        </w:rPr>
        <w:t xml:space="preserve"> units – </w:t>
      </w:r>
      <w:r>
        <w:rPr>
          <w:sz w:val="24"/>
        </w:rPr>
        <w:t>equivalent to saving close to</w:t>
      </w:r>
      <w:r w:rsidR="00FA1420">
        <w:rPr>
          <w:sz w:val="24"/>
        </w:rPr>
        <w:t xml:space="preserve"> </w:t>
      </w:r>
      <w:r w:rsidR="00F649A7">
        <w:rPr>
          <w:sz w:val="24"/>
        </w:rPr>
        <w:t>5</w:t>
      </w:r>
      <w:r w:rsidR="006A69B4">
        <w:rPr>
          <w:sz w:val="24"/>
        </w:rPr>
        <w:t xml:space="preserve"> tonnes of carbon.</w:t>
      </w:r>
      <w:r w:rsidR="00355A97">
        <w:rPr>
          <w:sz w:val="24"/>
        </w:rPr>
        <w:t xml:space="preserve"> </w:t>
      </w:r>
      <w:r>
        <w:rPr>
          <w:sz w:val="24"/>
        </w:rPr>
        <w:t xml:space="preserve">Despite its relatively lower output in November, </w:t>
      </w:r>
      <w:r w:rsidR="00355A97">
        <w:rPr>
          <w:sz w:val="24"/>
        </w:rPr>
        <w:t xml:space="preserve">the array at Stratford has produced </w:t>
      </w:r>
      <w:r>
        <w:rPr>
          <w:sz w:val="24"/>
        </w:rPr>
        <w:t xml:space="preserve">in 2013 </w:t>
      </w:r>
      <w:r w:rsidR="00355A97">
        <w:rPr>
          <w:sz w:val="24"/>
        </w:rPr>
        <w:t>nearly 3 per cent more electricity per kW installed than the array at Warwick.</w:t>
      </w:r>
    </w:p>
    <w:p w:rsidR="00825FA8" w:rsidRPr="00825FA8" w:rsidRDefault="00825FA8">
      <w:pPr>
        <w:rPr>
          <w:b/>
          <w:sz w:val="28"/>
        </w:rPr>
      </w:pPr>
      <w:r w:rsidRPr="00825FA8">
        <w:rPr>
          <w:b/>
          <w:sz w:val="28"/>
        </w:rPr>
        <w:t>More information</w:t>
      </w:r>
    </w:p>
    <w:p w:rsidR="00825FA8" w:rsidRPr="00355A97" w:rsidRDefault="003453FA" w:rsidP="003453FA">
      <w:pPr>
        <w:rPr>
          <w:b/>
          <w:sz w:val="28"/>
        </w:rPr>
      </w:pPr>
      <w:r>
        <w:rPr>
          <w:sz w:val="24"/>
        </w:rPr>
        <w:t xml:space="preserve">For more information about the performance of the solar PV arrays at Warwick and Stratford upon Avon Hospitals, and for more information about Community Energy Warwickshire in general, e-mail </w:t>
      </w:r>
      <w:hyperlink r:id="rId9" w:history="1">
        <w:r w:rsidRPr="00C97187">
          <w:rPr>
            <w:rStyle w:val="Hyperlink"/>
            <w:sz w:val="24"/>
          </w:rPr>
          <w:t>info@cew.coop</w:t>
        </w:r>
      </w:hyperlink>
      <w:r>
        <w:rPr>
          <w:sz w:val="24"/>
        </w:rPr>
        <w:t xml:space="preserve">. </w:t>
      </w:r>
    </w:p>
    <w:sectPr w:rsidR="00825FA8" w:rsidRPr="00355A97" w:rsidSect="00A2050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1"/>
    <w:rsid w:val="001166C0"/>
    <w:rsid w:val="00135017"/>
    <w:rsid w:val="001B4327"/>
    <w:rsid w:val="001F7E74"/>
    <w:rsid w:val="00211860"/>
    <w:rsid w:val="00253858"/>
    <w:rsid w:val="002623C9"/>
    <w:rsid w:val="00273086"/>
    <w:rsid w:val="002D5CDB"/>
    <w:rsid w:val="002E2F99"/>
    <w:rsid w:val="002F6364"/>
    <w:rsid w:val="00304EA7"/>
    <w:rsid w:val="0032024C"/>
    <w:rsid w:val="003453FA"/>
    <w:rsid w:val="00355A97"/>
    <w:rsid w:val="003C0476"/>
    <w:rsid w:val="003C315E"/>
    <w:rsid w:val="003C56B4"/>
    <w:rsid w:val="003F4405"/>
    <w:rsid w:val="004D6F85"/>
    <w:rsid w:val="00577CC0"/>
    <w:rsid w:val="00605678"/>
    <w:rsid w:val="0065119A"/>
    <w:rsid w:val="00694D84"/>
    <w:rsid w:val="006A69B4"/>
    <w:rsid w:val="006B1BAF"/>
    <w:rsid w:val="00825FA8"/>
    <w:rsid w:val="00851011"/>
    <w:rsid w:val="00860E32"/>
    <w:rsid w:val="008C132F"/>
    <w:rsid w:val="0091690B"/>
    <w:rsid w:val="00931068"/>
    <w:rsid w:val="009539E7"/>
    <w:rsid w:val="009D1133"/>
    <w:rsid w:val="00A20501"/>
    <w:rsid w:val="00A716D2"/>
    <w:rsid w:val="00A7246F"/>
    <w:rsid w:val="00A74B34"/>
    <w:rsid w:val="00A90132"/>
    <w:rsid w:val="00B12432"/>
    <w:rsid w:val="00B12ED8"/>
    <w:rsid w:val="00B47013"/>
    <w:rsid w:val="00B5161D"/>
    <w:rsid w:val="00C0269B"/>
    <w:rsid w:val="00C335D6"/>
    <w:rsid w:val="00C33CB2"/>
    <w:rsid w:val="00DD624B"/>
    <w:rsid w:val="00DD7E0E"/>
    <w:rsid w:val="00E22EE7"/>
    <w:rsid w:val="00E968E7"/>
    <w:rsid w:val="00EA0519"/>
    <w:rsid w:val="00EB1892"/>
    <w:rsid w:val="00F649A7"/>
    <w:rsid w:val="00FA1420"/>
    <w:rsid w:val="00FA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ew.coo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warwick\Warwick%20PV%20outputs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EW\Documents\CEW\generation\stratford\Stratford%20PV%20outputs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val>
            <c:numRef>
              <c:f>November!$B$2:$B$31</c:f>
              <c:numCache>
                <c:formatCode>_(* #,##0.00_);_(* \(#,##0.00\);_(* "-"??_);_(@_)</c:formatCode>
                <c:ptCount val="30"/>
                <c:pt idx="0">
                  <c:v>31.916</c:v>
                </c:pt>
                <c:pt idx="1">
                  <c:v>61.414999999999999</c:v>
                </c:pt>
                <c:pt idx="2">
                  <c:v>99.677000000000007</c:v>
                </c:pt>
                <c:pt idx="3">
                  <c:v>122.842</c:v>
                </c:pt>
                <c:pt idx="4">
                  <c:v>45.14</c:v>
                </c:pt>
                <c:pt idx="5">
                  <c:v>20.989000000000001</c:v>
                </c:pt>
                <c:pt idx="6">
                  <c:v>81.042000000000002</c:v>
                </c:pt>
                <c:pt idx="7">
                  <c:v>33.902000000000001</c:v>
                </c:pt>
                <c:pt idx="8">
                  <c:v>40.914999999999999</c:v>
                </c:pt>
                <c:pt idx="9">
                  <c:v>146.59800000000001</c:v>
                </c:pt>
                <c:pt idx="10">
                  <c:v>13.43</c:v>
                </c:pt>
                <c:pt idx="11">
                  <c:v>115.02</c:v>
                </c:pt>
                <c:pt idx="12">
                  <c:v>101.164</c:v>
                </c:pt>
                <c:pt idx="13">
                  <c:v>80.02</c:v>
                </c:pt>
                <c:pt idx="14" formatCode="General">
                  <c:v>33.392000000000003</c:v>
                </c:pt>
                <c:pt idx="15" formatCode="General">
                  <c:v>20.742999999999999</c:v>
                </c:pt>
                <c:pt idx="16" formatCode="General">
                  <c:v>18.100999999999999</c:v>
                </c:pt>
                <c:pt idx="17" formatCode="General">
                  <c:v>15.552</c:v>
                </c:pt>
                <c:pt idx="18" formatCode="General">
                  <c:v>104.50700000000001</c:v>
                </c:pt>
                <c:pt idx="19" formatCode="General">
                  <c:v>52.582999999999998</c:v>
                </c:pt>
                <c:pt idx="20" formatCode="General">
                  <c:v>90.93</c:v>
                </c:pt>
                <c:pt idx="21" formatCode="General">
                  <c:v>86.968999999999994</c:v>
                </c:pt>
                <c:pt idx="22" formatCode="General">
                  <c:v>62.503999999999998</c:v>
                </c:pt>
                <c:pt idx="23" formatCode="General">
                  <c:v>29.053999999999998</c:v>
                </c:pt>
                <c:pt idx="24" formatCode="General">
                  <c:v>26.245999999999999</c:v>
                </c:pt>
                <c:pt idx="25" formatCode="General">
                  <c:v>34.371000000000002</c:v>
                </c:pt>
                <c:pt idx="26" formatCode="General">
                  <c:v>22.669</c:v>
                </c:pt>
                <c:pt idx="27" formatCode="General">
                  <c:v>21.533999999999999</c:v>
                </c:pt>
                <c:pt idx="28" formatCode="General">
                  <c:v>22.140999999999998</c:v>
                </c:pt>
                <c:pt idx="29" formatCode="General">
                  <c:v>93.385000000000005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val>
            <c:numRef>
              <c:f>November!$C$2:$C$31</c:f>
              <c:numCache>
                <c:formatCode>_(* #,##0.00_);_(* \(#,##0.00\);_(* "-"??_);_(@_)</c:formatCode>
                <c:ptCount val="30"/>
                <c:pt idx="0">
                  <c:v>53.59</c:v>
                </c:pt>
                <c:pt idx="1">
                  <c:v>100.92</c:v>
                </c:pt>
                <c:pt idx="2">
                  <c:v>94.24</c:v>
                </c:pt>
                <c:pt idx="3">
                  <c:v>15.89</c:v>
                </c:pt>
                <c:pt idx="4">
                  <c:v>146.41999999999999</c:v>
                </c:pt>
                <c:pt idx="5">
                  <c:v>50.27</c:v>
                </c:pt>
                <c:pt idx="6">
                  <c:v>96.51</c:v>
                </c:pt>
                <c:pt idx="7">
                  <c:v>75.22</c:v>
                </c:pt>
                <c:pt idx="8">
                  <c:v>42.75</c:v>
                </c:pt>
                <c:pt idx="9">
                  <c:v>57.46</c:v>
                </c:pt>
                <c:pt idx="10">
                  <c:v>134.97</c:v>
                </c:pt>
                <c:pt idx="11">
                  <c:v>15.36</c:v>
                </c:pt>
                <c:pt idx="12">
                  <c:v>34.25</c:v>
                </c:pt>
                <c:pt idx="13">
                  <c:v>31.27</c:v>
                </c:pt>
                <c:pt idx="14">
                  <c:v>19.260000000000002</c:v>
                </c:pt>
                <c:pt idx="15">
                  <c:v>11.2</c:v>
                </c:pt>
                <c:pt idx="16">
                  <c:v>32.4</c:v>
                </c:pt>
                <c:pt idx="17">
                  <c:v>117.75</c:v>
                </c:pt>
                <c:pt idx="18">
                  <c:v>16</c:v>
                </c:pt>
                <c:pt idx="19">
                  <c:v>7.5</c:v>
                </c:pt>
                <c:pt idx="20">
                  <c:v>8.65</c:v>
                </c:pt>
                <c:pt idx="21">
                  <c:v>45.09</c:v>
                </c:pt>
                <c:pt idx="22">
                  <c:v>109.58</c:v>
                </c:pt>
                <c:pt idx="23">
                  <c:v>16.190000000000001</c:v>
                </c:pt>
                <c:pt idx="24">
                  <c:v>82.81</c:v>
                </c:pt>
                <c:pt idx="25">
                  <c:v>49.63</c:v>
                </c:pt>
                <c:pt idx="26">
                  <c:v>18.170000000000002</c:v>
                </c:pt>
                <c:pt idx="27">
                  <c:v>67.900000000000006</c:v>
                </c:pt>
                <c:pt idx="28">
                  <c:v>99.67</c:v>
                </c:pt>
                <c:pt idx="29">
                  <c:v>41.55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445056"/>
        <c:axId val="86471424"/>
      </c:lineChart>
      <c:catAx>
        <c:axId val="8644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6471424"/>
        <c:crosses val="autoZero"/>
        <c:auto val="1"/>
        <c:lblAlgn val="ctr"/>
        <c:lblOffset val="100"/>
        <c:noMultiLvlLbl val="0"/>
      </c:catAx>
      <c:valAx>
        <c:axId val="86471424"/>
        <c:scaling>
          <c:orientation val="minMax"/>
          <c:max val="200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86445056"/>
        <c:crosses val="autoZero"/>
        <c:crossBetween val="between"/>
        <c:majorUnit val="5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monthly!$C$27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monthly!$D$27:$O$27</c:f>
              <c:numCache>
                <c:formatCode>_(* #,##0.00_);_(* \(#,##0.00\);_(* "-"??_);_(@_)</c:formatCode>
                <c:ptCount val="12"/>
                <c:pt idx="1">
                  <c:v>81.022352941176464</c:v>
                </c:pt>
                <c:pt idx="2">
                  <c:v>147.03290322580645</c:v>
                </c:pt>
                <c:pt idx="3">
                  <c:v>166.035</c:v>
                </c:pt>
                <c:pt idx="4">
                  <c:v>202.54935483870963</c:v>
                </c:pt>
                <c:pt idx="5">
                  <c:v>173.14166666666668</c:v>
                </c:pt>
                <c:pt idx="6">
                  <c:v>201.59870967741941</c:v>
                </c:pt>
                <c:pt idx="7">
                  <c:v>174.96903225806457</c:v>
                </c:pt>
                <c:pt idx="8">
                  <c:v>165.9946666666666</c:v>
                </c:pt>
                <c:pt idx="9">
                  <c:v>93.547741935483884</c:v>
                </c:pt>
                <c:pt idx="10">
                  <c:v>56.42</c:v>
                </c:pt>
                <c:pt idx="11">
                  <c:v>38.799999999999997</c:v>
                </c:pt>
              </c:numCache>
            </c:numRef>
          </c:val>
        </c:ser>
        <c:ser>
          <c:idx val="1"/>
          <c:order val="1"/>
          <c:tx>
            <c:strRef>
              <c:f>monthly!$C$28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cat>
            <c:strRef>
              <c:f>monthly!$D$26:$O$26</c:f>
              <c:strCache>
                <c:ptCount val="12"/>
                <c:pt idx="0">
                  <c:v>J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</c:strCache>
            </c:strRef>
          </c:cat>
          <c:val>
            <c:numRef>
              <c:f>monthly!$D$28:$O$28</c:f>
              <c:numCache>
                <c:formatCode>General</c:formatCode>
                <c:ptCount val="12"/>
                <c:pt idx="0" formatCode="0.00">
                  <c:v>35.984516129032258</c:v>
                </c:pt>
                <c:pt idx="1">
                  <c:v>67.52</c:v>
                </c:pt>
                <c:pt idx="2">
                  <c:v>99.26</c:v>
                </c:pt>
                <c:pt idx="3" formatCode="_(* #,##0.00_);_(* \(#,##0.00\);_(* &quot;-&quot;??_);_(@_)">
                  <c:v>181.62870000000001</c:v>
                </c:pt>
                <c:pt idx="4">
                  <c:v>208.89</c:v>
                </c:pt>
                <c:pt idx="5" formatCode="_(* #,##0.00_);_(* \(#,##0.00\);_(* &quot;-&quot;??_);_(@_)">
                  <c:v>219.07026666666664</c:v>
                </c:pt>
                <c:pt idx="6" formatCode="_(* #,##0.00_);_(* \(#,##0.00\);_(* &quot;-&quot;??_);_(@_)">
                  <c:v>252.02216129032269</c:v>
                </c:pt>
                <c:pt idx="7" formatCode="_(* #,##0.00_);_(* \(#,##0.00\);_(* &quot;-&quot;??_);_(@_)">
                  <c:v>192.53006451612904</c:v>
                </c:pt>
                <c:pt idx="8" formatCode="_(* #,##0.00_);_(* \(#,##0.00\);_(* &quot;-&quot;??_);_(@_)">
                  <c:v>128.72176666666664</c:v>
                </c:pt>
                <c:pt idx="9" formatCode="_(* #,##0.00_);_(* \(#,##0.00\);_(* &quot;-&quot;??_);_(@_)">
                  <c:v>81.500258064516117</c:v>
                </c:pt>
                <c:pt idx="10" formatCode="_(* #,##0.00_);_(* \(#,##0.00\);_(* &quot;-&quot;??_);_(@_)">
                  <c:v>57.625033333333342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729472"/>
        <c:axId val="86731008"/>
      </c:barChart>
      <c:catAx>
        <c:axId val="86729472"/>
        <c:scaling>
          <c:orientation val="minMax"/>
        </c:scaling>
        <c:delete val="0"/>
        <c:axPos val="b"/>
        <c:majorTickMark val="out"/>
        <c:minorTickMark val="none"/>
        <c:tickLblPos val="nextTo"/>
        <c:crossAx val="86731008"/>
        <c:crosses val="autoZero"/>
        <c:auto val="1"/>
        <c:lblAlgn val="ctr"/>
        <c:lblOffset val="100"/>
        <c:noMultiLvlLbl val="0"/>
      </c:catAx>
      <c:valAx>
        <c:axId val="86731008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8672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November!$A$2:$A$31</c:f>
              <c:numCache>
                <c:formatCode>m/d/yyyy</c:formatCode>
                <c:ptCount val="30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</c:numCache>
            </c:numRef>
          </c:cat>
          <c:val>
            <c:numRef>
              <c:f>November!$B$2:$B$31</c:f>
              <c:numCache>
                <c:formatCode>_(* #,##0.00_);_(* \(#,##0.00\);_(* "-"??_);_(@_)</c:formatCode>
                <c:ptCount val="30"/>
                <c:pt idx="0">
                  <c:v>6.2</c:v>
                </c:pt>
                <c:pt idx="1">
                  <c:v>16.8</c:v>
                </c:pt>
                <c:pt idx="2">
                  <c:v>25.8</c:v>
                </c:pt>
                <c:pt idx="3">
                  <c:v>21.3</c:v>
                </c:pt>
                <c:pt idx="4">
                  <c:v>11.7</c:v>
                </c:pt>
                <c:pt idx="5">
                  <c:v>3.6</c:v>
                </c:pt>
                <c:pt idx="6">
                  <c:v>18.3</c:v>
                </c:pt>
                <c:pt idx="7">
                  <c:v>5.7</c:v>
                </c:pt>
                <c:pt idx="8">
                  <c:v>9.8000000000000007</c:v>
                </c:pt>
                <c:pt idx="9">
                  <c:v>11.9</c:v>
                </c:pt>
                <c:pt idx="10">
                  <c:v>2.9</c:v>
                </c:pt>
                <c:pt idx="11">
                  <c:v>25.5</c:v>
                </c:pt>
                <c:pt idx="12">
                  <c:v>22.3</c:v>
                </c:pt>
                <c:pt idx="13">
                  <c:v>14.2</c:v>
                </c:pt>
                <c:pt idx="14">
                  <c:v>8.4</c:v>
                </c:pt>
                <c:pt idx="15">
                  <c:v>4.0999999999999996</c:v>
                </c:pt>
                <c:pt idx="16">
                  <c:v>3.4</c:v>
                </c:pt>
                <c:pt idx="17">
                  <c:v>2.8</c:v>
                </c:pt>
                <c:pt idx="18">
                  <c:v>23</c:v>
                </c:pt>
                <c:pt idx="19">
                  <c:v>11.4</c:v>
                </c:pt>
                <c:pt idx="20">
                  <c:v>17</c:v>
                </c:pt>
                <c:pt idx="21">
                  <c:v>17.399999999999999</c:v>
                </c:pt>
                <c:pt idx="22">
                  <c:v>13.9</c:v>
                </c:pt>
                <c:pt idx="23">
                  <c:v>5.6</c:v>
                </c:pt>
                <c:pt idx="24">
                  <c:v>4.9000000000000004</c:v>
                </c:pt>
                <c:pt idx="25">
                  <c:v>6.7</c:v>
                </c:pt>
                <c:pt idx="26">
                  <c:v>3.8</c:v>
                </c:pt>
                <c:pt idx="27">
                  <c:v>4.3</c:v>
                </c:pt>
                <c:pt idx="28">
                  <c:v>4.7</c:v>
                </c:pt>
                <c:pt idx="29">
                  <c:v>19.8</c:v>
                </c:pt>
              </c:numCache>
            </c:numRef>
          </c:val>
          <c:smooth val="0"/>
        </c:ser>
        <c:ser>
          <c:idx val="1"/>
          <c:order val="1"/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November!$A$2:$A$31</c:f>
              <c:numCache>
                <c:formatCode>m/d/yyyy</c:formatCode>
                <c:ptCount val="30"/>
                <c:pt idx="0">
                  <c:v>41579</c:v>
                </c:pt>
                <c:pt idx="1">
                  <c:v>41580</c:v>
                </c:pt>
                <c:pt idx="2">
                  <c:v>41581</c:v>
                </c:pt>
                <c:pt idx="3">
                  <c:v>41582</c:v>
                </c:pt>
                <c:pt idx="4">
                  <c:v>41583</c:v>
                </c:pt>
                <c:pt idx="5">
                  <c:v>41584</c:v>
                </c:pt>
                <c:pt idx="6">
                  <c:v>41585</c:v>
                </c:pt>
                <c:pt idx="7">
                  <c:v>41586</c:v>
                </c:pt>
                <c:pt idx="8">
                  <c:v>41587</c:v>
                </c:pt>
                <c:pt idx="9">
                  <c:v>41588</c:v>
                </c:pt>
                <c:pt idx="10">
                  <c:v>41589</c:v>
                </c:pt>
                <c:pt idx="11">
                  <c:v>41590</c:v>
                </c:pt>
                <c:pt idx="12">
                  <c:v>41591</c:v>
                </c:pt>
                <c:pt idx="13">
                  <c:v>41592</c:v>
                </c:pt>
                <c:pt idx="14">
                  <c:v>41593</c:v>
                </c:pt>
                <c:pt idx="15">
                  <c:v>41594</c:v>
                </c:pt>
                <c:pt idx="16">
                  <c:v>41595</c:v>
                </c:pt>
                <c:pt idx="17">
                  <c:v>41596</c:v>
                </c:pt>
                <c:pt idx="18">
                  <c:v>41597</c:v>
                </c:pt>
                <c:pt idx="19">
                  <c:v>41598</c:v>
                </c:pt>
                <c:pt idx="20">
                  <c:v>41599</c:v>
                </c:pt>
                <c:pt idx="21">
                  <c:v>41600</c:v>
                </c:pt>
                <c:pt idx="22">
                  <c:v>41601</c:v>
                </c:pt>
                <c:pt idx="23">
                  <c:v>41602</c:v>
                </c:pt>
                <c:pt idx="24">
                  <c:v>41603</c:v>
                </c:pt>
                <c:pt idx="25">
                  <c:v>41604</c:v>
                </c:pt>
                <c:pt idx="26">
                  <c:v>41605</c:v>
                </c:pt>
                <c:pt idx="27">
                  <c:v>41606</c:v>
                </c:pt>
                <c:pt idx="28">
                  <c:v>41607</c:v>
                </c:pt>
                <c:pt idx="29">
                  <c:v>41608</c:v>
                </c:pt>
              </c:numCache>
            </c:numRef>
          </c:cat>
          <c:val>
            <c:numRef>
              <c:f>November!$C$2:$C$31</c:f>
              <c:numCache>
                <c:formatCode>_(* #,##0.00_);_(* \(#,##0.00\);_(* "-"??_);_(@_)</c:formatCode>
                <c:ptCount val="30"/>
                <c:pt idx="0">
                  <c:v>11.66</c:v>
                </c:pt>
                <c:pt idx="1">
                  <c:v>27.82</c:v>
                </c:pt>
                <c:pt idx="2">
                  <c:v>23.74</c:v>
                </c:pt>
                <c:pt idx="3">
                  <c:v>3.02</c:v>
                </c:pt>
                <c:pt idx="4">
                  <c:v>28.06</c:v>
                </c:pt>
                <c:pt idx="5">
                  <c:v>9.1199999999999992</c:v>
                </c:pt>
                <c:pt idx="6">
                  <c:v>15.23</c:v>
                </c:pt>
                <c:pt idx="7">
                  <c:v>13.55</c:v>
                </c:pt>
                <c:pt idx="8">
                  <c:v>9.93</c:v>
                </c:pt>
                <c:pt idx="9">
                  <c:v>11.74</c:v>
                </c:pt>
                <c:pt idx="10">
                  <c:v>30.59</c:v>
                </c:pt>
                <c:pt idx="11">
                  <c:v>2.84</c:v>
                </c:pt>
                <c:pt idx="12">
                  <c:v>6.69</c:v>
                </c:pt>
                <c:pt idx="13">
                  <c:v>8.16</c:v>
                </c:pt>
                <c:pt idx="14">
                  <c:v>4.16</c:v>
                </c:pt>
                <c:pt idx="15">
                  <c:v>2.4</c:v>
                </c:pt>
                <c:pt idx="16">
                  <c:v>6.47</c:v>
                </c:pt>
                <c:pt idx="17">
                  <c:v>25.34</c:v>
                </c:pt>
                <c:pt idx="18">
                  <c:v>2.89</c:v>
                </c:pt>
                <c:pt idx="19">
                  <c:v>1.67</c:v>
                </c:pt>
                <c:pt idx="20">
                  <c:v>2.17</c:v>
                </c:pt>
                <c:pt idx="21">
                  <c:v>8.6999999999999993</c:v>
                </c:pt>
                <c:pt idx="22">
                  <c:v>24.32</c:v>
                </c:pt>
                <c:pt idx="23">
                  <c:v>2.82</c:v>
                </c:pt>
                <c:pt idx="24">
                  <c:v>14.52</c:v>
                </c:pt>
                <c:pt idx="25">
                  <c:v>6.55</c:v>
                </c:pt>
                <c:pt idx="26">
                  <c:v>3.01</c:v>
                </c:pt>
                <c:pt idx="27">
                  <c:v>11.77</c:v>
                </c:pt>
                <c:pt idx="28">
                  <c:v>21.54</c:v>
                </c:pt>
                <c:pt idx="29">
                  <c:v>7.72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751872"/>
        <c:axId val="86786432"/>
      </c:lineChart>
      <c:dateAx>
        <c:axId val="86751872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6786432"/>
        <c:crosses val="autoZero"/>
        <c:auto val="1"/>
        <c:lblOffset val="100"/>
        <c:baseTimeUnit val="days"/>
      </c:dateAx>
      <c:valAx>
        <c:axId val="86786432"/>
        <c:scaling>
          <c:orientation val="minMax"/>
          <c:max val="80"/>
        </c:scaling>
        <c:delete val="0"/>
        <c:axPos val="l"/>
        <c:majorGridlines/>
        <c:numFmt formatCode="_(* #,##0.00_);_(* \(#,##0.00\);_(* &quot;-&quot;??_);_(@_)" sourceLinked="1"/>
        <c:majorTickMark val="out"/>
        <c:minorTickMark val="none"/>
        <c:tickLblPos val="nextTo"/>
        <c:crossAx val="86751872"/>
        <c:crosses val="autoZero"/>
        <c:crossBetween val="between"/>
        <c:majorUnit val="1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at CEW</dc:creator>
  <cp:lastModifiedBy>Roger at CEW</cp:lastModifiedBy>
  <cp:revision>7</cp:revision>
  <cp:lastPrinted>2013-06-14T17:08:00Z</cp:lastPrinted>
  <dcterms:created xsi:type="dcterms:W3CDTF">2013-12-04T09:36:00Z</dcterms:created>
  <dcterms:modified xsi:type="dcterms:W3CDTF">2013-12-07T16:16:00Z</dcterms:modified>
</cp:coreProperties>
</file>