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20501" w:rsidTr="007826A6">
        <w:tc>
          <w:tcPr>
            <w:tcW w:w="4621" w:type="dxa"/>
            <w:vMerge w:val="restart"/>
          </w:tcPr>
          <w:p w:rsidR="00A20501" w:rsidRDefault="00A20501" w:rsidP="007826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DA010A" wp14:editId="3C66BFEA">
                  <wp:extent cx="2242800" cy="1569600"/>
                  <wp:effectExtent l="0" t="0" r="5715" b="0"/>
                  <wp:docPr id="1" name="Picture 1" descr="CEW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W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20501" w:rsidRPr="00B57CB0" w:rsidRDefault="00A20501" w:rsidP="007826A6">
            <w:pPr>
              <w:jc w:val="center"/>
              <w:rPr>
                <w:sz w:val="96"/>
              </w:rPr>
            </w:pPr>
            <w:r w:rsidRPr="00B57CB0">
              <w:rPr>
                <w:sz w:val="96"/>
              </w:rPr>
              <w:t>SOLAR PV</w:t>
            </w:r>
          </w:p>
          <w:p w:rsidR="00A20501" w:rsidRDefault="00A20501" w:rsidP="007826A6">
            <w:pPr>
              <w:jc w:val="center"/>
            </w:pPr>
            <w:r w:rsidRPr="00B57CB0">
              <w:rPr>
                <w:sz w:val="40"/>
              </w:rPr>
              <w:t>MONITORING REPORT</w:t>
            </w:r>
          </w:p>
        </w:tc>
      </w:tr>
      <w:tr w:rsidR="00A20501" w:rsidTr="007826A6">
        <w:tc>
          <w:tcPr>
            <w:tcW w:w="4621" w:type="dxa"/>
            <w:vMerge/>
          </w:tcPr>
          <w:p w:rsidR="00A20501" w:rsidRDefault="00A20501" w:rsidP="007826A6"/>
        </w:tc>
        <w:tc>
          <w:tcPr>
            <w:tcW w:w="4621" w:type="dxa"/>
            <w:vAlign w:val="bottom"/>
          </w:tcPr>
          <w:p w:rsidR="00A20501" w:rsidRDefault="009539E7" w:rsidP="007826A6">
            <w:pPr>
              <w:jc w:val="center"/>
            </w:pPr>
            <w:r>
              <w:rPr>
                <w:sz w:val="36"/>
              </w:rPr>
              <w:t>July</w:t>
            </w:r>
            <w:r w:rsidR="00A20501" w:rsidRPr="00B57CB0">
              <w:rPr>
                <w:sz w:val="36"/>
              </w:rPr>
              <w:t xml:space="preserve"> 2013</w:t>
            </w:r>
          </w:p>
        </w:tc>
      </w:tr>
    </w:tbl>
    <w:p w:rsidR="001F7E74" w:rsidRDefault="001F7E74"/>
    <w:p w:rsidR="00A20501" w:rsidRDefault="00A20501">
      <w:pPr>
        <w:sectPr w:rsidR="00A20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Default="00A20501" w:rsidP="00A20501">
      <w:pPr>
        <w:rPr>
          <w:b/>
          <w:sz w:val="28"/>
        </w:rPr>
      </w:pPr>
    </w:p>
    <w:p w:rsidR="00A20501" w:rsidRPr="009D2395" w:rsidRDefault="004D6F85" w:rsidP="00A20501">
      <w:pPr>
        <w:rPr>
          <w:b/>
          <w:sz w:val="28"/>
        </w:rPr>
      </w:pPr>
      <w:r>
        <w:rPr>
          <w:b/>
          <w:sz w:val="28"/>
        </w:rPr>
        <w:t>Another record-breaking month</w:t>
      </w:r>
    </w:p>
    <w:p w:rsidR="006A69B4" w:rsidRDefault="004D6F85" w:rsidP="00A20501">
      <w:pPr>
        <w:rPr>
          <w:sz w:val="24"/>
        </w:rPr>
      </w:pPr>
      <w:r>
        <w:rPr>
          <w:sz w:val="24"/>
        </w:rPr>
        <w:t>July has been yet a</w:t>
      </w:r>
      <w:r w:rsidR="00A90132">
        <w:rPr>
          <w:sz w:val="24"/>
        </w:rPr>
        <w:t xml:space="preserve">nother record-breaking month </w:t>
      </w:r>
      <w:r>
        <w:rPr>
          <w:sz w:val="24"/>
        </w:rPr>
        <w:t>for Community Energy Warwickshire’s solar PV arrays at both</w:t>
      </w:r>
      <w:r w:rsidR="00C335D6">
        <w:rPr>
          <w:sz w:val="24"/>
        </w:rPr>
        <w:t xml:space="preserve"> </w:t>
      </w:r>
      <w:r>
        <w:rPr>
          <w:sz w:val="24"/>
        </w:rPr>
        <w:t xml:space="preserve">Stratford and Warwick Hospitals. </w:t>
      </w:r>
      <w:r w:rsidR="00C335D6">
        <w:rPr>
          <w:sz w:val="24"/>
        </w:rPr>
        <w:t>The month saw the highest monthly generation since the PV arrays were install</w:t>
      </w:r>
      <w:r w:rsidR="00A90132">
        <w:rPr>
          <w:sz w:val="24"/>
        </w:rPr>
        <w:t>ed at both hospitals, with 1,597</w:t>
      </w:r>
      <w:r w:rsidR="00C335D6">
        <w:rPr>
          <w:sz w:val="24"/>
        </w:rPr>
        <w:t xml:space="preserve"> units </w:t>
      </w:r>
      <w:r w:rsidR="00A90132">
        <w:rPr>
          <w:sz w:val="24"/>
        </w:rPr>
        <w:t>generated at Stratford and 7,813</w:t>
      </w:r>
      <w:r w:rsidR="00C335D6">
        <w:rPr>
          <w:sz w:val="24"/>
        </w:rPr>
        <w:t xml:space="preserve"> units at Warwick</w:t>
      </w:r>
      <w:r>
        <w:rPr>
          <w:sz w:val="24"/>
        </w:rPr>
        <w:t xml:space="preserve"> – breaking the records set just one month before in June 2013</w:t>
      </w:r>
      <w:r w:rsidR="00C335D6">
        <w:rPr>
          <w:sz w:val="24"/>
        </w:rPr>
        <w:t xml:space="preserve">. And </w:t>
      </w:r>
      <w:r>
        <w:rPr>
          <w:sz w:val="24"/>
        </w:rPr>
        <w:t xml:space="preserve">at </w:t>
      </w:r>
      <w:r w:rsidR="00C335D6">
        <w:rPr>
          <w:sz w:val="24"/>
        </w:rPr>
        <w:t xml:space="preserve">both sites </w:t>
      </w:r>
      <w:r>
        <w:rPr>
          <w:sz w:val="24"/>
        </w:rPr>
        <w:t xml:space="preserve">saw the highest average daily generation for a month </w:t>
      </w:r>
      <w:r w:rsidR="00A90132">
        <w:rPr>
          <w:sz w:val="24"/>
        </w:rPr>
        <w:t>–</w:t>
      </w:r>
      <w:r>
        <w:rPr>
          <w:sz w:val="24"/>
        </w:rPr>
        <w:t xml:space="preserve"> </w:t>
      </w:r>
      <w:r w:rsidR="00A90132">
        <w:rPr>
          <w:sz w:val="24"/>
        </w:rPr>
        <w:t>topping 250 units a day at Warwick and 50 units a day at Stratford.</w:t>
      </w:r>
    </w:p>
    <w:p w:rsidR="00C335D6" w:rsidRPr="00C335D6" w:rsidRDefault="00C335D6" w:rsidP="00A20501">
      <w:pPr>
        <w:rPr>
          <w:sz w:val="24"/>
        </w:rPr>
        <w:sectPr w:rsidR="00C335D6" w:rsidRPr="00C335D6" w:rsidSect="00A205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</w:t>
      </w:r>
      <w:r w:rsidR="009D1133">
        <w:rPr>
          <w:b/>
          <w:sz w:val="28"/>
        </w:rPr>
        <w:t xml:space="preserve">arwick Hospital – performance in </w:t>
      </w:r>
      <w:r w:rsidR="009539E7">
        <w:rPr>
          <w:b/>
          <w:sz w:val="28"/>
        </w:rPr>
        <w:t>July</w:t>
      </w:r>
      <w:r w:rsidRPr="009D2395">
        <w:rPr>
          <w:b/>
          <w:sz w:val="28"/>
        </w:rPr>
        <w:t xml:space="preserve"> 2013</w:t>
      </w:r>
    </w:p>
    <w:p w:rsidR="00A20501" w:rsidRDefault="00A90132" w:rsidP="00A20501">
      <w:pPr>
        <w:rPr>
          <w:sz w:val="24"/>
        </w:rPr>
      </w:pPr>
      <w:r>
        <w:rPr>
          <w:sz w:val="24"/>
        </w:rPr>
        <w:t>July</w:t>
      </w:r>
      <w:r w:rsidR="00E968E7">
        <w:rPr>
          <w:sz w:val="24"/>
        </w:rPr>
        <w:t xml:space="preserve"> continued the pattern since April, with</w:t>
      </w:r>
      <w:r w:rsidR="00304EA7">
        <w:rPr>
          <w:sz w:val="24"/>
        </w:rPr>
        <w:t xml:space="preserve"> more energy </w:t>
      </w:r>
      <w:r w:rsidR="00A20501">
        <w:rPr>
          <w:sz w:val="24"/>
        </w:rPr>
        <w:t xml:space="preserve">generated by the solar PV array at Warwick Hospital </w:t>
      </w:r>
      <w:r w:rsidR="00E968E7">
        <w:rPr>
          <w:sz w:val="24"/>
        </w:rPr>
        <w:t>in</w:t>
      </w:r>
      <w:r w:rsidR="00E22EE7">
        <w:rPr>
          <w:sz w:val="24"/>
        </w:rPr>
        <w:t xml:space="preserve"> 2013 </w:t>
      </w:r>
      <w:r w:rsidR="00A20501">
        <w:rPr>
          <w:sz w:val="24"/>
        </w:rPr>
        <w:t>than in the same m</w:t>
      </w:r>
      <w:r w:rsidR="00E22EE7">
        <w:rPr>
          <w:sz w:val="24"/>
        </w:rPr>
        <w:t>onth last year. A tota</w:t>
      </w:r>
      <w:r w:rsidR="00E968E7">
        <w:rPr>
          <w:sz w:val="24"/>
        </w:rPr>
        <w:t>l o</w:t>
      </w:r>
      <w:r>
        <w:rPr>
          <w:sz w:val="24"/>
        </w:rPr>
        <w:t>f 7,813</w:t>
      </w:r>
      <w:r w:rsidR="00E968E7">
        <w:rPr>
          <w:sz w:val="24"/>
        </w:rPr>
        <w:t xml:space="preserve"> units </w:t>
      </w:r>
      <w:r w:rsidR="00A20501">
        <w:rPr>
          <w:sz w:val="24"/>
        </w:rPr>
        <w:t xml:space="preserve">were generated during the </w:t>
      </w:r>
      <w:r>
        <w:rPr>
          <w:sz w:val="24"/>
        </w:rPr>
        <w:t>month – an average of 252</w:t>
      </w:r>
      <w:r w:rsidR="00A20501">
        <w:rPr>
          <w:sz w:val="24"/>
        </w:rPr>
        <w:t xml:space="preserve"> units a day. </w:t>
      </w:r>
      <w:r>
        <w:rPr>
          <w:sz w:val="24"/>
        </w:rPr>
        <w:t xml:space="preserve">The record for highest </w:t>
      </w:r>
      <w:r w:rsidR="00304EA7">
        <w:rPr>
          <w:sz w:val="24"/>
        </w:rPr>
        <w:t xml:space="preserve">average </w:t>
      </w:r>
      <w:r>
        <w:rPr>
          <w:sz w:val="24"/>
        </w:rPr>
        <w:t>daily output had la</w:t>
      </w:r>
      <w:r>
        <w:rPr>
          <w:sz w:val="24"/>
        </w:rPr>
        <w:t>sted just one month! Peak performance was on Tuesday 9 July when 341.8 units were generated.</w:t>
      </w:r>
      <w:r w:rsidR="00FA1420">
        <w:rPr>
          <w:sz w:val="24"/>
        </w:rPr>
        <w:t xml:space="preserve"> </w:t>
      </w:r>
      <w:r w:rsidR="00A20501">
        <w:rPr>
          <w:sz w:val="24"/>
        </w:rPr>
        <w:t>Daily</w:t>
      </w:r>
      <w:r w:rsidR="00E22EE7">
        <w:rPr>
          <w:sz w:val="24"/>
        </w:rPr>
        <w:t xml:space="preserve"> output exceeded 200 units on</w:t>
      </w:r>
      <w:r>
        <w:rPr>
          <w:sz w:val="24"/>
        </w:rPr>
        <w:t xml:space="preserve"> 25 days during July</w:t>
      </w:r>
      <w:r w:rsidR="00E22EE7">
        <w:rPr>
          <w:sz w:val="24"/>
        </w:rPr>
        <w:t xml:space="preserve"> –</w:t>
      </w:r>
      <w:r>
        <w:rPr>
          <w:sz w:val="24"/>
        </w:rPr>
        <w:t xml:space="preserve">indeed </w:t>
      </w:r>
      <w:r w:rsidR="00E22EE7">
        <w:rPr>
          <w:sz w:val="24"/>
        </w:rPr>
        <w:t>da</w:t>
      </w:r>
      <w:r w:rsidR="00E968E7">
        <w:rPr>
          <w:sz w:val="24"/>
        </w:rPr>
        <w:t xml:space="preserve">ily output </w:t>
      </w:r>
      <w:r>
        <w:rPr>
          <w:sz w:val="24"/>
        </w:rPr>
        <w:t>was over 300 units on twel</w:t>
      </w:r>
      <w:r w:rsidR="00E968E7">
        <w:rPr>
          <w:sz w:val="24"/>
        </w:rPr>
        <w:t>ve</w:t>
      </w:r>
      <w:r w:rsidR="00E22EE7">
        <w:rPr>
          <w:sz w:val="24"/>
        </w:rPr>
        <w:t xml:space="preserve"> days</w:t>
      </w:r>
      <w:r>
        <w:rPr>
          <w:sz w:val="24"/>
        </w:rPr>
        <w:t>, breaking the previous record of six days of 300 units or more (June 2103 and May 2012)</w:t>
      </w:r>
      <w:r w:rsidR="00A20501">
        <w:rPr>
          <w:sz w:val="24"/>
        </w:rPr>
        <w:t>. The</w:t>
      </w:r>
      <w:r w:rsidR="00E22EE7">
        <w:rPr>
          <w:sz w:val="24"/>
        </w:rPr>
        <w:t xml:space="preserve"> lowest daily output was </w:t>
      </w:r>
      <w:r w:rsidR="002623C9">
        <w:rPr>
          <w:sz w:val="24"/>
        </w:rPr>
        <w:t>80.7</w:t>
      </w:r>
      <w:r w:rsidR="00E968E7">
        <w:rPr>
          <w:sz w:val="24"/>
        </w:rPr>
        <w:t xml:space="preserve"> units </w:t>
      </w:r>
      <w:r w:rsidR="00E22EE7">
        <w:rPr>
          <w:sz w:val="24"/>
        </w:rPr>
        <w:t xml:space="preserve">on </w:t>
      </w:r>
      <w:r w:rsidR="002623C9">
        <w:rPr>
          <w:sz w:val="24"/>
        </w:rPr>
        <w:t>Wednes</w:t>
      </w:r>
      <w:r w:rsidR="00A20501">
        <w:rPr>
          <w:sz w:val="24"/>
        </w:rPr>
        <w:t xml:space="preserve">day </w:t>
      </w:r>
      <w:r w:rsidR="002623C9">
        <w:rPr>
          <w:sz w:val="24"/>
        </w:rPr>
        <w:t>3</w:t>
      </w:r>
      <w:r w:rsidR="00E968E7">
        <w:rPr>
          <w:sz w:val="24"/>
        </w:rPr>
        <w:t>1</w:t>
      </w:r>
      <w:r w:rsidR="00A20501">
        <w:rPr>
          <w:sz w:val="24"/>
        </w:rPr>
        <w:t xml:space="preserve"> </w:t>
      </w:r>
      <w:r w:rsidR="002623C9">
        <w:rPr>
          <w:sz w:val="24"/>
        </w:rPr>
        <w:t>July</w:t>
      </w:r>
      <w:r w:rsidR="00E968E7">
        <w:rPr>
          <w:sz w:val="24"/>
        </w:rPr>
        <w:t xml:space="preserve"> </w:t>
      </w:r>
      <w:r w:rsidR="00FA1420">
        <w:rPr>
          <w:sz w:val="24"/>
        </w:rPr>
        <w:t xml:space="preserve">- </w:t>
      </w:r>
      <w:r w:rsidR="002623C9">
        <w:rPr>
          <w:sz w:val="24"/>
        </w:rPr>
        <w:t>the only day in July</w:t>
      </w:r>
      <w:r w:rsidR="00E968E7">
        <w:rPr>
          <w:sz w:val="24"/>
        </w:rPr>
        <w:t xml:space="preserve"> when </w:t>
      </w:r>
      <w:r w:rsidR="00A20501">
        <w:rPr>
          <w:sz w:val="24"/>
        </w:rPr>
        <w:t xml:space="preserve">daily output </w:t>
      </w:r>
      <w:r w:rsidR="00E968E7">
        <w:rPr>
          <w:sz w:val="24"/>
        </w:rPr>
        <w:t>fell below 100 units</w:t>
      </w:r>
      <w:r w:rsidR="00A20501">
        <w:rPr>
          <w:sz w:val="24"/>
        </w:rPr>
        <w:t>.</w:t>
      </w:r>
    </w:p>
    <w:p w:rsidR="00A20501" w:rsidRDefault="00A20501" w:rsidP="00E22EE7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lastRenderedPageBreak/>
        <w:t>Daily output: Warw</w:t>
      </w:r>
      <w:r>
        <w:rPr>
          <w:sz w:val="24"/>
          <w:u w:val="single"/>
        </w:rPr>
        <w:t xml:space="preserve">ick Hospital </w:t>
      </w:r>
      <w:r w:rsidR="009539E7">
        <w:rPr>
          <w:sz w:val="24"/>
          <w:u w:val="single"/>
        </w:rPr>
        <w:t>July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9539E7">
        <w:rPr>
          <w:sz w:val="24"/>
          <w:u w:val="single"/>
        </w:rPr>
        <w:t>July</w:t>
      </w:r>
      <w:r w:rsidR="00C335D6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9D1133" w:rsidRPr="009D1133" w:rsidRDefault="009D1133" w:rsidP="00E22EE7">
      <w:pPr>
        <w:jc w:val="center"/>
        <w:rPr>
          <w:sz w:val="16"/>
          <w:u w:val="single"/>
        </w:rPr>
      </w:pPr>
    </w:p>
    <w:p w:rsidR="00A20501" w:rsidRDefault="002623C9" w:rsidP="00A20501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B36940E" wp14:editId="5C2439B8">
            <wp:extent cx="2959200" cy="1774800"/>
            <wp:effectExtent l="0" t="0" r="12700" b="1651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3B5" w:rsidRDefault="00E968E7" w:rsidP="006A69B4">
      <w:pPr>
        <w:spacing w:before="360"/>
        <w:rPr>
          <w:sz w:val="24"/>
        </w:rPr>
      </w:pPr>
      <w:r>
        <w:rPr>
          <w:sz w:val="24"/>
        </w:rPr>
        <w:t>Ge</w:t>
      </w:r>
      <w:r w:rsidR="002623C9">
        <w:rPr>
          <w:sz w:val="24"/>
        </w:rPr>
        <w:t>neration during July 2013 was 25</w:t>
      </w:r>
      <w:r>
        <w:rPr>
          <w:sz w:val="24"/>
        </w:rPr>
        <w:t xml:space="preserve"> </w:t>
      </w:r>
      <w:r w:rsidR="002623C9">
        <w:rPr>
          <w:sz w:val="24"/>
        </w:rPr>
        <w:t>per cent higher than during July 2012</w:t>
      </w:r>
      <w:r w:rsidR="00304EA7">
        <w:rPr>
          <w:sz w:val="24"/>
        </w:rPr>
        <w:t xml:space="preserve"> – and </w:t>
      </w:r>
      <w:r w:rsidR="002623C9">
        <w:rPr>
          <w:sz w:val="24"/>
        </w:rPr>
        <w:t>average daily output was 19 per cent above June</w:t>
      </w:r>
      <w:r w:rsidR="00304EA7">
        <w:rPr>
          <w:sz w:val="24"/>
        </w:rPr>
        <w:t xml:space="preserve"> 2013</w:t>
      </w:r>
      <w:r w:rsidR="002623C9">
        <w:rPr>
          <w:sz w:val="24"/>
        </w:rPr>
        <w:t xml:space="preserve"> – which was itself the highest average daily rate recorded for a month</w:t>
      </w:r>
      <w:r w:rsidR="00931068">
        <w:rPr>
          <w:sz w:val="24"/>
        </w:rPr>
        <w:t>.</w:t>
      </w:r>
      <w:r w:rsidR="002623C9">
        <w:rPr>
          <w:sz w:val="24"/>
        </w:rPr>
        <w:t xml:space="preserve"> </w:t>
      </w:r>
    </w:p>
    <w:p w:rsidR="00931068" w:rsidRDefault="00931068" w:rsidP="006A69B4">
      <w:pPr>
        <w:spacing w:before="360"/>
        <w:rPr>
          <w:sz w:val="24"/>
        </w:r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Warwick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20501" w:rsidRPr="00551BE4" w:rsidRDefault="002623C9" w:rsidP="00A20501">
      <w:pPr>
        <w:rPr>
          <w:sz w:val="24"/>
        </w:rPr>
      </w:pPr>
      <w:r>
        <w:rPr>
          <w:sz w:val="24"/>
        </w:rPr>
        <w:t>In the first seven</w:t>
      </w:r>
      <w:r w:rsidR="00A20501" w:rsidRPr="00551BE4">
        <w:rPr>
          <w:sz w:val="24"/>
        </w:rPr>
        <w:t xml:space="preserve"> mon</w:t>
      </w:r>
      <w:r w:rsidR="00A20501">
        <w:rPr>
          <w:sz w:val="24"/>
        </w:rPr>
        <w:t>ths of 2013, the solar PV array at Warwick Hospital has</w:t>
      </w:r>
      <w:r>
        <w:rPr>
          <w:sz w:val="24"/>
        </w:rPr>
        <w:t xml:space="preserve"> generated a total of just nearly</w:t>
      </w:r>
      <w:r w:rsidR="00A20501" w:rsidRPr="00551BE4">
        <w:rPr>
          <w:sz w:val="24"/>
        </w:rPr>
        <w:t xml:space="preserve"> </w:t>
      </w:r>
      <w:r>
        <w:rPr>
          <w:sz w:val="24"/>
        </w:rPr>
        <w:t>32,40</w:t>
      </w:r>
      <w:r w:rsidR="00931068">
        <w:rPr>
          <w:sz w:val="24"/>
        </w:rPr>
        <w:t>0</w:t>
      </w:r>
      <w:r w:rsidR="009D1133">
        <w:rPr>
          <w:sz w:val="24"/>
        </w:rPr>
        <w:t xml:space="preserve"> units</w:t>
      </w:r>
      <w:r>
        <w:rPr>
          <w:sz w:val="24"/>
        </w:rPr>
        <w:t>, saving over 16</w:t>
      </w:r>
      <w:r w:rsidR="00A20501" w:rsidRPr="00551BE4">
        <w:rPr>
          <w:sz w:val="24"/>
        </w:rPr>
        <w:t xml:space="preserve"> tonnes of carbon. The graph below shows the average</w:t>
      </w:r>
      <w:r>
        <w:rPr>
          <w:sz w:val="24"/>
        </w:rPr>
        <w:t xml:space="preserve"> daily output in the first seven months</w:t>
      </w:r>
      <w:r w:rsidR="00A20501" w:rsidRPr="00551BE4">
        <w:rPr>
          <w:sz w:val="24"/>
        </w:rPr>
        <w:t xml:space="preserve"> of the year, with average daily output for 2012 shown for comparison. Note there is no data for January 2012, and data for February 2012 is for 12-29 February only.</w:t>
      </w:r>
    </w:p>
    <w:p w:rsidR="00A20501" w:rsidRDefault="00A20501" w:rsidP="00A20501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t xml:space="preserve">Average daily output by month: </w:t>
      </w:r>
      <w:r w:rsidR="009539E7">
        <w:rPr>
          <w:sz w:val="24"/>
          <w:u w:val="single"/>
        </w:rPr>
        <w:t>Warwick Hospital January – July</w:t>
      </w:r>
      <w:r w:rsidRPr="00551BE4">
        <w:rPr>
          <w:sz w:val="24"/>
          <w:u w:val="single"/>
        </w:rPr>
        <w:t xml:space="preserve"> 2013</w:t>
      </w:r>
    </w:p>
    <w:p w:rsidR="00A20501" w:rsidRPr="009D1133" w:rsidRDefault="00A20501" w:rsidP="00A20501">
      <w:pPr>
        <w:jc w:val="center"/>
        <w:rPr>
          <w:sz w:val="16"/>
          <w:u w:val="single"/>
        </w:rPr>
      </w:pPr>
    </w:p>
    <w:p w:rsidR="00A20501" w:rsidRDefault="002623C9" w:rsidP="00A20501">
      <w:pPr>
        <w:jc w:val="center"/>
      </w:pPr>
      <w:r>
        <w:rPr>
          <w:noProof/>
          <w:lang w:eastAsia="en-GB"/>
        </w:rPr>
        <w:drawing>
          <wp:inline distT="0" distB="0" distL="0" distR="0" wp14:anchorId="692B97F3" wp14:editId="3BF397D3">
            <wp:extent cx="2804400" cy="1681200"/>
            <wp:effectExtent l="0" t="0" r="15240" b="14605"/>
            <wp:docPr id="6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501" w:rsidRPr="006A69B4" w:rsidRDefault="00A20501" w:rsidP="00A20501">
      <w:pPr>
        <w:rPr>
          <w:sz w:val="16"/>
        </w:rPr>
      </w:pPr>
    </w:p>
    <w:p w:rsidR="00273086" w:rsidRPr="009D2395" w:rsidRDefault="00273086" w:rsidP="00273086">
      <w:pPr>
        <w:rPr>
          <w:b/>
          <w:sz w:val="28"/>
        </w:rPr>
      </w:pPr>
      <w:r>
        <w:rPr>
          <w:b/>
          <w:sz w:val="28"/>
        </w:rPr>
        <w:t xml:space="preserve">Stratford </w:t>
      </w:r>
      <w:r w:rsidR="009539E7">
        <w:rPr>
          <w:b/>
          <w:sz w:val="28"/>
        </w:rPr>
        <w:t>Hospital – performance in July</w:t>
      </w:r>
      <w:r w:rsidRPr="009D2395">
        <w:rPr>
          <w:b/>
          <w:sz w:val="28"/>
        </w:rPr>
        <w:t xml:space="preserve"> 2013</w:t>
      </w:r>
    </w:p>
    <w:p w:rsidR="00273086" w:rsidRDefault="002623C9" w:rsidP="00273086">
      <w:pPr>
        <w:rPr>
          <w:sz w:val="24"/>
        </w:rPr>
      </w:pPr>
      <w:r>
        <w:rPr>
          <w:sz w:val="24"/>
        </w:rPr>
        <w:t>In July</w:t>
      </w:r>
      <w:r w:rsidR="00273086">
        <w:rPr>
          <w:sz w:val="24"/>
        </w:rPr>
        <w:t xml:space="preserve"> 2013 the solar PV arr</w:t>
      </w:r>
      <w:r w:rsidR="002F6364">
        <w:rPr>
          <w:sz w:val="24"/>
        </w:rPr>
        <w:t>ay at Stratford Hospital also broke its record for most electricity genera</w:t>
      </w:r>
      <w:r>
        <w:rPr>
          <w:sz w:val="24"/>
        </w:rPr>
        <w:t>ted in a month. A total of 1,597</w:t>
      </w:r>
      <w:r w:rsidR="00273086">
        <w:rPr>
          <w:sz w:val="24"/>
        </w:rPr>
        <w:t xml:space="preserve"> units of electricity were generated during the month – on avera</w:t>
      </w:r>
      <w:r>
        <w:rPr>
          <w:sz w:val="24"/>
        </w:rPr>
        <w:t>ge 51.5</w:t>
      </w:r>
      <w:r w:rsidR="00273086">
        <w:rPr>
          <w:sz w:val="24"/>
        </w:rPr>
        <w:t xml:space="preserve"> units a day. </w:t>
      </w:r>
      <w:r w:rsidR="002F6364">
        <w:rPr>
          <w:sz w:val="24"/>
        </w:rPr>
        <w:t>Th</w:t>
      </w:r>
      <w:r>
        <w:rPr>
          <w:sz w:val="24"/>
        </w:rPr>
        <w:t>e previous monthly record (1,376</w:t>
      </w:r>
      <w:r w:rsidR="002F6364">
        <w:rPr>
          <w:sz w:val="24"/>
        </w:rPr>
        <w:t xml:space="preserve"> units at a</w:t>
      </w:r>
      <w:r>
        <w:rPr>
          <w:sz w:val="24"/>
        </w:rPr>
        <w:t>n</w:t>
      </w:r>
      <w:r w:rsidR="002F6364">
        <w:rPr>
          <w:sz w:val="24"/>
        </w:rPr>
        <w:t xml:space="preserve"> average daily rate of 4</w:t>
      </w:r>
      <w:r>
        <w:rPr>
          <w:sz w:val="24"/>
        </w:rPr>
        <w:t>5</w:t>
      </w:r>
      <w:r w:rsidR="002F6364">
        <w:rPr>
          <w:sz w:val="24"/>
        </w:rPr>
        <w:t>.9 units) had stood for just on</w:t>
      </w:r>
      <w:r>
        <w:rPr>
          <w:sz w:val="24"/>
        </w:rPr>
        <w:t>e month!</w:t>
      </w:r>
      <w:r w:rsidR="002F6364">
        <w:rPr>
          <w:sz w:val="24"/>
        </w:rPr>
        <w:t xml:space="preserve"> </w:t>
      </w:r>
      <w:r w:rsidR="00273086">
        <w:rPr>
          <w:sz w:val="24"/>
        </w:rPr>
        <w:t>Like Warwic</w:t>
      </w:r>
      <w:r w:rsidR="009D1133">
        <w:rPr>
          <w:sz w:val="24"/>
        </w:rPr>
        <w:t xml:space="preserve">k, </w:t>
      </w:r>
      <w:r w:rsidR="002F6364">
        <w:rPr>
          <w:sz w:val="24"/>
        </w:rPr>
        <w:t xml:space="preserve">Stratford beat previous records </w:t>
      </w:r>
      <w:r w:rsidR="00FA1420">
        <w:rPr>
          <w:sz w:val="24"/>
        </w:rPr>
        <w:t xml:space="preserve">for </w:t>
      </w:r>
      <w:r w:rsidR="003C315E">
        <w:rPr>
          <w:sz w:val="24"/>
        </w:rPr>
        <w:t xml:space="preserve">consistently high levels of </w:t>
      </w:r>
      <w:r w:rsidR="00FA1420">
        <w:rPr>
          <w:sz w:val="24"/>
        </w:rPr>
        <w:t>generation</w:t>
      </w:r>
      <w:r w:rsidR="003C315E">
        <w:rPr>
          <w:sz w:val="24"/>
        </w:rPr>
        <w:t xml:space="preserve">: output exceeded 50 units a day on 18 </w:t>
      </w:r>
      <w:r w:rsidR="003C315E">
        <w:rPr>
          <w:sz w:val="24"/>
        </w:rPr>
        <w:lastRenderedPageBreak/>
        <w:t>days of the month – and exceeded 60 units a day on 13 days. Highest output was 71.6 units on Thursday 11 July; l</w:t>
      </w:r>
      <w:r w:rsidR="009D1133">
        <w:rPr>
          <w:sz w:val="24"/>
        </w:rPr>
        <w:t>owest</w:t>
      </w:r>
      <w:r w:rsidR="006A69B4">
        <w:rPr>
          <w:sz w:val="24"/>
        </w:rPr>
        <w:t xml:space="preserve"> </w:t>
      </w:r>
      <w:r w:rsidR="003C315E">
        <w:rPr>
          <w:sz w:val="24"/>
        </w:rPr>
        <w:t>output was 18.7</w:t>
      </w:r>
      <w:r w:rsidR="002F6364">
        <w:rPr>
          <w:sz w:val="24"/>
        </w:rPr>
        <w:t xml:space="preserve"> units on </w:t>
      </w:r>
      <w:r w:rsidR="003C315E">
        <w:rPr>
          <w:sz w:val="24"/>
        </w:rPr>
        <w:t>Wednesday</w:t>
      </w:r>
      <w:r w:rsidR="002F6364">
        <w:rPr>
          <w:sz w:val="24"/>
        </w:rPr>
        <w:t xml:space="preserve"> </w:t>
      </w:r>
      <w:r w:rsidR="003C315E">
        <w:rPr>
          <w:sz w:val="24"/>
        </w:rPr>
        <w:t>31 July – the only day that daily output fell below 20 units</w:t>
      </w:r>
      <w:r w:rsidR="00273086">
        <w:rPr>
          <w:sz w:val="24"/>
        </w:rPr>
        <w:t>.</w:t>
      </w:r>
    </w:p>
    <w:p w:rsidR="00273086" w:rsidRDefault="00273086" w:rsidP="00273086">
      <w:pPr>
        <w:rPr>
          <w:sz w:val="24"/>
        </w:rPr>
      </w:pPr>
      <w:r>
        <w:rPr>
          <w:sz w:val="24"/>
        </w:rPr>
        <w:t>Ge</w:t>
      </w:r>
      <w:r w:rsidR="003C315E">
        <w:rPr>
          <w:sz w:val="24"/>
        </w:rPr>
        <w:t>neration during July</w:t>
      </w:r>
      <w:r w:rsidR="00FA73B5">
        <w:rPr>
          <w:sz w:val="24"/>
        </w:rPr>
        <w:t xml:space="preserve"> 2013 was </w:t>
      </w:r>
      <w:r w:rsidR="003C315E">
        <w:rPr>
          <w:sz w:val="24"/>
        </w:rPr>
        <w:t>28</w:t>
      </w:r>
      <w:r>
        <w:rPr>
          <w:sz w:val="24"/>
        </w:rPr>
        <w:t xml:space="preserve"> per cent higher than during </w:t>
      </w:r>
      <w:r w:rsidR="003C315E">
        <w:rPr>
          <w:sz w:val="24"/>
        </w:rPr>
        <w:t>July</w:t>
      </w:r>
      <w:r w:rsidR="002E2F99">
        <w:rPr>
          <w:sz w:val="24"/>
        </w:rPr>
        <w:t xml:space="preserve"> 20</w:t>
      </w:r>
      <w:r w:rsidR="003C315E">
        <w:rPr>
          <w:sz w:val="24"/>
        </w:rPr>
        <w:t>12, and 16 per cent higher than the previous month.</w:t>
      </w:r>
    </w:p>
    <w:p w:rsidR="00273086" w:rsidRDefault="00273086" w:rsidP="00273086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Daily output: Stratford upon Avon Hospital </w:t>
      </w:r>
      <w:r w:rsidR="00FA1420">
        <w:rPr>
          <w:sz w:val="24"/>
          <w:u w:val="single"/>
        </w:rPr>
        <w:t>J</w:t>
      </w:r>
      <w:r w:rsidR="009539E7">
        <w:rPr>
          <w:sz w:val="24"/>
          <w:u w:val="single"/>
        </w:rPr>
        <w:t>uly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>&amp; 2013</w:t>
      </w:r>
      <w:r>
        <w:rPr>
          <w:sz w:val="24"/>
          <w:u w:val="single"/>
        </w:rPr>
        <w:t xml:space="preserve"> (blue)</w:t>
      </w:r>
    </w:p>
    <w:p w:rsidR="00A20501" w:rsidRPr="00FA73B5" w:rsidRDefault="00A20501" w:rsidP="00A20501">
      <w:pPr>
        <w:rPr>
          <w:sz w:val="16"/>
        </w:rPr>
      </w:pPr>
    </w:p>
    <w:p w:rsidR="00A20501" w:rsidRDefault="003C315E">
      <w:r>
        <w:rPr>
          <w:noProof/>
          <w:lang w:eastAsia="en-GB"/>
        </w:rPr>
        <w:drawing>
          <wp:inline distT="0" distB="0" distL="0" distR="0" wp14:anchorId="3DB808E3" wp14:editId="3B5411B1">
            <wp:extent cx="2800800" cy="1652400"/>
            <wp:effectExtent l="0" t="0" r="19050" b="2413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9B4" w:rsidRPr="006A69B4" w:rsidRDefault="006A69B4" w:rsidP="006A69B4">
      <w:pPr>
        <w:rPr>
          <w:b/>
          <w:sz w:val="16"/>
        </w:rPr>
      </w:pPr>
    </w:p>
    <w:p w:rsidR="006A69B4" w:rsidRPr="009D2395" w:rsidRDefault="006A69B4" w:rsidP="006A69B4">
      <w:pPr>
        <w:rPr>
          <w:b/>
          <w:sz w:val="28"/>
        </w:rPr>
      </w:pPr>
      <w:r>
        <w:rPr>
          <w:b/>
          <w:sz w:val="28"/>
        </w:rPr>
        <w:t>Stratford</w:t>
      </w:r>
      <w:r w:rsidRPr="009D2395">
        <w:rPr>
          <w:b/>
          <w:sz w:val="28"/>
        </w:rPr>
        <w:t xml:space="preserve">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716D2" w:rsidRPr="00FA73B5" w:rsidRDefault="00DD624B" w:rsidP="006A69B4">
      <w:pPr>
        <w:rPr>
          <w:sz w:val="16"/>
        </w:rPr>
      </w:pPr>
      <w:r>
        <w:rPr>
          <w:sz w:val="24"/>
        </w:rPr>
        <w:t>In the first seven</w:t>
      </w:r>
      <w:r w:rsidR="006A69B4" w:rsidRPr="00551BE4">
        <w:rPr>
          <w:sz w:val="24"/>
        </w:rPr>
        <w:t xml:space="preserve"> mon</w:t>
      </w:r>
      <w:r w:rsidR="006A69B4">
        <w:rPr>
          <w:sz w:val="24"/>
        </w:rPr>
        <w:t>ths of 2013, the solar PV array</w:t>
      </w:r>
      <w:r w:rsidR="00DD7E0E">
        <w:rPr>
          <w:sz w:val="24"/>
        </w:rPr>
        <w:t xml:space="preserve"> at Stratford</w:t>
      </w:r>
      <w:r w:rsidR="006A69B4">
        <w:rPr>
          <w:sz w:val="24"/>
        </w:rPr>
        <w:t xml:space="preserve"> Hospital has</w:t>
      </w:r>
      <w:r w:rsidR="00135017">
        <w:rPr>
          <w:sz w:val="24"/>
        </w:rPr>
        <w:t xml:space="preserve"> generated just over 6,65</w:t>
      </w:r>
      <w:r w:rsidR="006A69B4">
        <w:rPr>
          <w:sz w:val="24"/>
        </w:rPr>
        <w:t xml:space="preserve">0 units – </w:t>
      </w:r>
      <w:r w:rsidR="00135017">
        <w:rPr>
          <w:sz w:val="24"/>
        </w:rPr>
        <w:t>equivalent to saving over</w:t>
      </w:r>
      <w:r w:rsidR="00FA1420">
        <w:rPr>
          <w:sz w:val="24"/>
        </w:rPr>
        <w:t xml:space="preserve"> </w:t>
      </w:r>
      <w:r w:rsidR="00135017">
        <w:rPr>
          <w:sz w:val="24"/>
        </w:rPr>
        <w:t>3</w:t>
      </w:r>
      <w:r w:rsidR="006A69B4">
        <w:rPr>
          <w:sz w:val="24"/>
        </w:rPr>
        <w:t xml:space="preserve"> tonnes of carbon.</w:t>
      </w:r>
    </w:p>
    <w:p w:rsidR="00A716D2" w:rsidRDefault="00A716D2">
      <w:pPr>
        <w:rPr>
          <w:b/>
          <w:sz w:val="28"/>
        </w:rPr>
      </w:pPr>
      <w:proofErr w:type="gramStart"/>
      <w:r>
        <w:rPr>
          <w:b/>
          <w:sz w:val="28"/>
        </w:rPr>
        <w:t>More information?</w:t>
      </w:r>
      <w:proofErr w:type="gramEnd"/>
    </w:p>
    <w:p w:rsidR="00A716D2" w:rsidRPr="001B4327" w:rsidRDefault="00A716D2">
      <w:pPr>
        <w:rPr>
          <w:b/>
          <w:sz w:val="28"/>
        </w:rPr>
      </w:pPr>
      <w:r>
        <w:rPr>
          <w:sz w:val="24"/>
        </w:rPr>
        <w:t>For more information about the performance of the solar PV arrays at Warwick and Stratford upon Avon Hospitals, and for more information about Community Energy Warwickshire in general</w:t>
      </w:r>
      <w:bookmarkStart w:id="0" w:name="_GoBack"/>
      <w:bookmarkEnd w:id="0"/>
      <w:r>
        <w:rPr>
          <w:sz w:val="24"/>
        </w:rPr>
        <w:t xml:space="preserve">, e-mail </w:t>
      </w:r>
      <w:hyperlink r:id="rId9" w:history="1">
        <w:r w:rsidRPr="00C97187">
          <w:rPr>
            <w:rStyle w:val="Hyperlink"/>
            <w:sz w:val="24"/>
          </w:rPr>
          <w:t>info@cew.coop</w:t>
        </w:r>
      </w:hyperlink>
      <w:r>
        <w:rPr>
          <w:sz w:val="24"/>
        </w:rPr>
        <w:t xml:space="preserve">. </w:t>
      </w:r>
    </w:p>
    <w:sectPr w:rsidR="00A716D2" w:rsidRPr="001B4327" w:rsidSect="00A2050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1"/>
    <w:rsid w:val="001166C0"/>
    <w:rsid w:val="00135017"/>
    <w:rsid w:val="001B4327"/>
    <w:rsid w:val="001F7E74"/>
    <w:rsid w:val="002623C9"/>
    <w:rsid w:val="00273086"/>
    <w:rsid w:val="002E2F99"/>
    <w:rsid w:val="002F6364"/>
    <w:rsid w:val="00304EA7"/>
    <w:rsid w:val="003C315E"/>
    <w:rsid w:val="003F4405"/>
    <w:rsid w:val="004D6F85"/>
    <w:rsid w:val="00577CC0"/>
    <w:rsid w:val="00694D84"/>
    <w:rsid w:val="006A69B4"/>
    <w:rsid w:val="006B1BAF"/>
    <w:rsid w:val="00931068"/>
    <w:rsid w:val="009539E7"/>
    <w:rsid w:val="009D1133"/>
    <w:rsid w:val="00A20501"/>
    <w:rsid w:val="00A716D2"/>
    <w:rsid w:val="00A90132"/>
    <w:rsid w:val="00B12ED8"/>
    <w:rsid w:val="00C335D6"/>
    <w:rsid w:val="00DD624B"/>
    <w:rsid w:val="00DD7E0E"/>
    <w:rsid w:val="00E22EE7"/>
    <w:rsid w:val="00E968E7"/>
    <w:rsid w:val="00EA0519"/>
    <w:rsid w:val="00FA1420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w.coo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stratford\Stratford%20PV%20outputs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July!$A$2:$A$32</c:f>
              <c:numCache>
                <c:formatCode>m/d/yyyy</c:formatCode>
                <c:ptCount val="31"/>
                <c:pt idx="0">
                  <c:v>41456</c:v>
                </c:pt>
                <c:pt idx="1">
                  <c:v>41457</c:v>
                </c:pt>
                <c:pt idx="2">
                  <c:v>41458</c:v>
                </c:pt>
                <c:pt idx="3">
                  <c:v>41459</c:v>
                </c:pt>
                <c:pt idx="4">
                  <c:v>41460</c:v>
                </c:pt>
                <c:pt idx="5">
                  <c:v>41461</c:v>
                </c:pt>
                <c:pt idx="6">
                  <c:v>41462</c:v>
                </c:pt>
                <c:pt idx="7">
                  <c:v>41463</c:v>
                </c:pt>
                <c:pt idx="8">
                  <c:v>41464</c:v>
                </c:pt>
                <c:pt idx="9">
                  <c:v>41465</c:v>
                </c:pt>
                <c:pt idx="10">
                  <c:v>41466</c:v>
                </c:pt>
                <c:pt idx="11">
                  <c:v>41467</c:v>
                </c:pt>
                <c:pt idx="12">
                  <c:v>41468</c:v>
                </c:pt>
                <c:pt idx="13">
                  <c:v>41469</c:v>
                </c:pt>
                <c:pt idx="14">
                  <c:v>41470</c:v>
                </c:pt>
                <c:pt idx="15">
                  <c:v>41471</c:v>
                </c:pt>
                <c:pt idx="16">
                  <c:v>41472</c:v>
                </c:pt>
                <c:pt idx="17">
                  <c:v>41473</c:v>
                </c:pt>
                <c:pt idx="18">
                  <c:v>41474</c:v>
                </c:pt>
                <c:pt idx="19">
                  <c:v>41475</c:v>
                </c:pt>
                <c:pt idx="20">
                  <c:v>41476</c:v>
                </c:pt>
                <c:pt idx="21">
                  <c:v>41477</c:v>
                </c:pt>
                <c:pt idx="22">
                  <c:v>41478</c:v>
                </c:pt>
                <c:pt idx="23">
                  <c:v>41479</c:v>
                </c:pt>
                <c:pt idx="24">
                  <c:v>41480</c:v>
                </c:pt>
                <c:pt idx="25">
                  <c:v>41481</c:v>
                </c:pt>
                <c:pt idx="26">
                  <c:v>41482</c:v>
                </c:pt>
                <c:pt idx="27">
                  <c:v>41483</c:v>
                </c:pt>
                <c:pt idx="28">
                  <c:v>41484</c:v>
                </c:pt>
                <c:pt idx="29">
                  <c:v>41485</c:v>
                </c:pt>
                <c:pt idx="30">
                  <c:v>41486</c:v>
                </c:pt>
              </c:numCache>
            </c:numRef>
          </c:cat>
          <c:val>
            <c:numRef>
              <c:f>July!$B$2:$B$32</c:f>
              <c:numCache>
                <c:formatCode>_(* #,##0.00_);_(* \(#,##0.00\);_(* "-"??_);_(@_)</c:formatCode>
                <c:ptCount val="31"/>
                <c:pt idx="0">
                  <c:v>226.29</c:v>
                </c:pt>
                <c:pt idx="1">
                  <c:v>107.962</c:v>
                </c:pt>
                <c:pt idx="2">
                  <c:v>137.68700000000001</c:v>
                </c:pt>
                <c:pt idx="3">
                  <c:v>233.827</c:v>
                </c:pt>
                <c:pt idx="4">
                  <c:v>315.27499999999998</c:v>
                </c:pt>
                <c:pt idx="5">
                  <c:v>341.14499999999998</c:v>
                </c:pt>
                <c:pt idx="6">
                  <c:v>315.12299999999999</c:v>
                </c:pt>
                <c:pt idx="7">
                  <c:v>329.43900000000002</c:v>
                </c:pt>
                <c:pt idx="8">
                  <c:v>341.762</c:v>
                </c:pt>
                <c:pt idx="9">
                  <c:v>227.05699999999999</c:v>
                </c:pt>
                <c:pt idx="10">
                  <c:v>333.37200000000001</c:v>
                </c:pt>
                <c:pt idx="11">
                  <c:v>255.81700000000001</c:v>
                </c:pt>
                <c:pt idx="12">
                  <c:v>309.92899999999997</c:v>
                </c:pt>
                <c:pt idx="13">
                  <c:v>320.14800000000002</c:v>
                </c:pt>
                <c:pt idx="14">
                  <c:v>316.80099999999999</c:v>
                </c:pt>
                <c:pt idx="15">
                  <c:v>305.79199999999997</c:v>
                </c:pt>
                <c:pt idx="16">
                  <c:v>307.81</c:v>
                </c:pt>
                <c:pt idx="17">
                  <c:v>297.75099999999998</c:v>
                </c:pt>
                <c:pt idx="18">
                  <c:v>325.72500000000002</c:v>
                </c:pt>
                <c:pt idx="19">
                  <c:v>179.078</c:v>
                </c:pt>
                <c:pt idx="20">
                  <c:v>146.99199999999999</c:v>
                </c:pt>
                <c:pt idx="21">
                  <c:v>257.19299999999998</c:v>
                </c:pt>
                <c:pt idx="22">
                  <c:v>166.85</c:v>
                </c:pt>
                <c:pt idx="23">
                  <c:v>256.745</c:v>
                </c:pt>
                <c:pt idx="24">
                  <c:v>203.31899999999999</c:v>
                </c:pt>
                <c:pt idx="25">
                  <c:v>264.67099999999999</c:v>
                </c:pt>
                <c:pt idx="26">
                  <c:v>201.14699999999999</c:v>
                </c:pt>
                <c:pt idx="27">
                  <c:v>260.85000000000002</c:v>
                </c:pt>
                <c:pt idx="28">
                  <c:v>229.9</c:v>
                </c:pt>
                <c:pt idx="29">
                  <c:v>216.52</c:v>
                </c:pt>
                <c:pt idx="30">
                  <c:v>80.709999999999994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July!$A$2:$A$32</c:f>
              <c:numCache>
                <c:formatCode>m/d/yyyy</c:formatCode>
                <c:ptCount val="31"/>
                <c:pt idx="0">
                  <c:v>41456</c:v>
                </c:pt>
                <c:pt idx="1">
                  <c:v>41457</c:v>
                </c:pt>
                <c:pt idx="2">
                  <c:v>41458</c:v>
                </c:pt>
                <c:pt idx="3">
                  <c:v>41459</c:v>
                </c:pt>
                <c:pt idx="4">
                  <c:v>41460</c:v>
                </c:pt>
                <c:pt idx="5">
                  <c:v>41461</c:v>
                </c:pt>
                <c:pt idx="6">
                  <c:v>41462</c:v>
                </c:pt>
                <c:pt idx="7">
                  <c:v>41463</c:v>
                </c:pt>
                <c:pt idx="8">
                  <c:v>41464</c:v>
                </c:pt>
                <c:pt idx="9">
                  <c:v>41465</c:v>
                </c:pt>
                <c:pt idx="10">
                  <c:v>41466</c:v>
                </c:pt>
                <c:pt idx="11">
                  <c:v>41467</c:v>
                </c:pt>
                <c:pt idx="12">
                  <c:v>41468</c:v>
                </c:pt>
                <c:pt idx="13">
                  <c:v>41469</c:v>
                </c:pt>
                <c:pt idx="14">
                  <c:v>41470</c:v>
                </c:pt>
                <c:pt idx="15">
                  <c:v>41471</c:v>
                </c:pt>
                <c:pt idx="16">
                  <c:v>41472</c:v>
                </c:pt>
                <c:pt idx="17">
                  <c:v>41473</c:v>
                </c:pt>
                <c:pt idx="18">
                  <c:v>41474</c:v>
                </c:pt>
                <c:pt idx="19">
                  <c:v>41475</c:v>
                </c:pt>
                <c:pt idx="20">
                  <c:v>41476</c:v>
                </c:pt>
                <c:pt idx="21">
                  <c:v>41477</c:v>
                </c:pt>
                <c:pt idx="22">
                  <c:v>41478</c:v>
                </c:pt>
                <c:pt idx="23">
                  <c:v>41479</c:v>
                </c:pt>
                <c:pt idx="24">
                  <c:v>41480</c:v>
                </c:pt>
                <c:pt idx="25">
                  <c:v>41481</c:v>
                </c:pt>
                <c:pt idx="26">
                  <c:v>41482</c:v>
                </c:pt>
                <c:pt idx="27">
                  <c:v>41483</c:v>
                </c:pt>
                <c:pt idx="28">
                  <c:v>41484</c:v>
                </c:pt>
                <c:pt idx="29">
                  <c:v>41485</c:v>
                </c:pt>
                <c:pt idx="30">
                  <c:v>41486</c:v>
                </c:pt>
              </c:numCache>
            </c:numRef>
          </c:cat>
          <c:val>
            <c:numRef>
              <c:f>July!$C$2:$C$32</c:f>
              <c:numCache>
                <c:formatCode>_(* #,##0.00_);_(* \(#,##0.00\);_(* "-"??_);_(@_)</c:formatCode>
                <c:ptCount val="31"/>
                <c:pt idx="0">
                  <c:v>226.96</c:v>
                </c:pt>
                <c:pt idx="1">
                  <c:v>78.2</c:v>
                </c:pt>
                <c:pt idx="2">
                  <c:v>71.72</c:v>
                </c:pt>
                <c:pt idx="3">
                  <c:v>155.5</c:v>
                </c:pt>
                <c:pt idx="4">
                  <c:v>242.66</c:v>
                </c:pt>
                <c:pt idx="5">
                  <c:v>69.430000000000007</c:v>
                </c:pt>
                <c:pt idx="6">
                  <c:v>161.56</c:v>
                </c:pt>
                <c:pt idx="7">
                  <c:v>188.47</c:v>
                </c:pt>
                <c:pt idx="8">
                  <c:v>171.15</c:v>
                </c:pt>
                <c:pt idx="9">
                  <c:v>162.88999999999999</c:v>
                </c:pt>
                <c:pt idx="10">
                  <c:v>225.15</c:v>
                </c:pt>
                <c:pt idx="11">
                  <c:v>275.5</c:v>
                </c:pt>
                <c:pt idx="12">
                  <c:v>133.38999999999999</c:v>
                </c:pt>
                <c:pt idx="13">
                  <c:v>131.32</c:v>
                </c:pt>
                <c:pt idx="14">
                  <c:v>246.65</c:v>
                </c:pt>
                <c:pt idx="15">
                  <c:v>95.13</c:v>
                </c:pt>
                <c:pt idx="16">
                  <c:v>254.8</c:v>
                </c:pt>
                <c:pt idx="17">
                  <c:v>139.91999999999999</c:v>
                </c:pt>
                <c:pt idx="18">
                  <c:v>164.4</c:v>
                </c:pt>
                <c:pt idx="19">
                  <c:v>161.91</c:v>
                </c:pt>
                <c:pt idx="20">
                  <c:v>277.17</c:v>
                </c:pt>
                <c:pt idx="21">
                  <c:v>292.05</c:v>
                </c:pt>
                <c:pt idx="22">
                  <c:v>337.35</c:v>
                </c:pt>
                <c:pt idx="23">
                  <c:v>324.45</c:v>
                </c:pt>
                <c:pt idx="24">
                  <c:v>260.76</c:v>
                </c:pt>
                <c:pt idx="25">
                  <c:v>275.13</c:v>
                </c:pt>
                <c:pt idx="26">
                  <c:v>277.89</c:v>
                </c:pt>
                <c:pt idx="27">
                  <c:v>272.45</c:v>
                </c:pt>
                <c:pt idx="28">
                  <c:v>219.49</c:v>
                </c:pt>
                <c:pt idx="29">
                  <c:v>220.93</c:v>
                </c:pt>
                <c:pt idx="30">
                  <c:v>135.18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553728"/>
        <c:axId val="90563712"/>
      </c:lineChart>
      <c:dateAx>
        <c:axId val="90553728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90563712"/>
        <c:crosses val="autoZero"/>
        <c:auto val="1"/>
        <c:lblOffset val="100"/>
        <c:baseTimeUnit val="days"/>
      </c:dateAx>
      <c:valAx>
        <c:axId val="9056371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9055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_(* #,##0.00_);_(* \(#,##0.00\);_(* "-"??_);_(@_)</c:formatCode>
                <c:ptCount val="12"/>
                <c:pt idx="1">
                  <c:v>81.022352941176464</c:v>
                </c:pt>
                <c:pt idx="2">
                  <c:v>147.03290322580645</c:v>
                </c:pt>
                <c:pt idx="3">
                  <c:v>166.035</c:v>
                </c:pt>
                <c:pt idx="4">
                  <c:v>202.54935483870963</c:v>
                </c:pt>
                <c:pt idx="5">
                  <c:v>173.14166666666668</c:v>
                </c:pt>
                <c:pt idx="6">
                  <c:v>201.59870967741941</c:v>
                </c:pt>
                <c:pt idx="7">
                  <c:v>174.96903225806457</c:v>
                </c:pt>
                <c:pt idx="8">
                  <c:v>165.9946666666666</c:v>
                </c:pt>
                <c:pt idx="9">
                  <c:v>93.547741935483884</c:v>
                </c:pt>
                <c:pt idx="10">
                  <c:v>56.42</c:v>
                </c:pt>
                <c:pt idx="11">
                  <c:v>38.799999999999997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General</c:formatCode>
                <c:ptCount val="12"/>
                <c:pt idx="0" formatCode="0.00">
                  <c:v>35.984516129032258</c:v>
                </c:pt>
                <c:pt idx="1">
                  <c:v>67.52</c:v>
                </c:pt>
                <c:pt idx="2">
                  <c:v>99.26</c:v>
                </c:pt>
                <c:pt idx="3" formatCode="_(* #,##0.00_);_(* \(#,##0.00\);_(* &quot;-&quot;??_);_(@_)">
                  <c:v>181.62870000000001</c:v>
                </c:pt>
                <c:pt idx="4">
                  <c:v>208.89</c:v>
                </c:pt>
                <c:pt idx="5" formatCode="_(* #,##0.00_);_(* \(#,##0.00\);_(* &quot;-&quot;??_);_(@_)">
                  <c:v>219.07026666666664</c:v>
                </c:pt>
                <c:pt idx="6" formatCode="_(* #,##0.00_);_(* \(#,##0.00\);_(* &quot;-&quot;??_);_(@_)">
                  <c:v>252.02216129032269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660096"/>
        <c:axId val="70661632"/>
      </c:barChart>
      <c:catAx>
        <c:axId val="7066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70661632"/>
        <c:crosses val="autoZero"/>
        <c:auto val="1"/>
        <c:lblAlgn val="ctr"/>
        <c:lblOffset val="100"/>
        <c:noMultiLvlLbl val="0"/>
      </c:catAx>
      <c:valAx>
        <c:axId val="70661632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7066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July!$A$2:$A$32</c:f>
              <c:numCache>
                <c:formatCode>m/d/yyyy</c:formatCode>
                <c:ptCount val="31"/>
                <c:pt idx="0">
                  <c:v>41456</c:v>
                </c:pt>
                <c:pt idx="1">
                  <c:v>41457</c:v>
                </c:pt>
                <c:pt idx="2">
                  <c:v>41458</c:v>
                </c:pt>
                <c:pt idx="3">
                  <c:v>41459</c:v>
                </c:pt>
                <c:pt idx="4">
                  <c:v>41460</c:v>
                </c:pt>
                <c:pt idx="5">
                  <c:v>41461</c:v>
                </c:pt>
                <c:pt idx="6">
                  <c:v>41462</c:v>
                </c:pt>
                <c:pt idx="7">
                  <c:v>41463</c:v>
                </c:pt>
                <c:pt idx="8">
                  <c:v>41464</c:v>
                </c:pt>
                <c:pt idx="9">
                  <c:v>41465</c:v>
                </c:pt>
                <c:pt idx="10">
                  <c:v>41466</c:v>
                </c:pt>
                <c:pt idx="11">
                  <c:v>41467</c:v>
                </c:pt>
                <c:pt idx="12">
                  <c:v>41468</c:v>
                </c:pt>
                <c:pt idx="13">
                  <c:v>41469</c:v>
                </c:pt>
                <c:pt idx="14">
                  <c:v>41470</c:v>
                </c:pt>
                <c:pt idx="15">
                  <c:v>41471</c:v>
                </c:pt>
                <c:pt idx="16">
                  <c:v>41472</c:v>
                </c:pt>
                <c:pt idx="17">
                  <c:v>41473</c:v>
                </c:pt>
                <c:pt idx="18">
                  <c:v>41474</c:v>
                </c:pt>
                <c:pt idx="19">
                  <c:v>41475</c:v>
                </c:pt>
                <c:pt idx="20">
                  <c:v>41476</c:v>
                </c:pt>
                <c:pt idx="21">
                  <c:v>41477</c:v>
                </c:pt>
                <c:pt idx="22">
                  <c:v>41478</c:v>
                </c:pt>
                <c:pt idx="23">
                  <c:v>41479</c:v>
                </c:pt>
                <c:pt idx="24">
                  <c:v>41480</c:v>
                </c:pt>
                <c:pt idx="25">
                  <c:v>41481</c:v>
                </c:pt>
                <c:pt idx="26">
                  <c:v>41482</c:v>
                </c:pt>
                <c:pt idx="27">
                  <c:v>41483</c:v>
                </c:pt>
                <c:pt idx="28">
                  <c:v>41484</c:v>
                </c:pt>
                <c:pt idx="29">
                  <c:v>41485</c:v>
                </c:pt>
                <c:pt idx="30">
                  <c:v>41486</c:v>
                </c:pt>
              </c:numCache>
            </c:numRef>
          </c:cat>
          <c:val>
            <c:numRef>
              <c:f>July!$B$2:$B$32</c:f>
              <c:numCache>
                <c:formatCode>_(* #,##0.00_);_(* \(#,##0.00\);_(* "-"??_);_(@_)</c:formatCode>
                <c:ptCount val="31"/>
                <c:pt idx="0">
                  <c:v>48.59</c:v>
                </c:pt>
                <c:pt idx="1">
                  <c:v>20.329999999999998</c:v>
                </c:pt>
                <c:pt idx="2">
                  <c:v>27.3</c:v>
                </c:pt>
                <c:pt idx="3">
                  <c:v>48.55</c:v>
                </c:pt>
                <c:pt idx="4">
                  <c:v>63.72</c:v>
                </c:pt>
                <c:pt idx="5">
                  <c:v>66.52</c:v>
                </c:pt>
                <c:pt idx="6">
                  <c:v>62.33</c:v>
                </c:pt>
                <c:pt idx="7">
                  <c:v>67.89</c:v>
                </c:pt>
                <c:pt idx="8">
                  <c:v>70.010000000000005</c:v>
                </c:pt>
                <c:pt idx="9">
                  <c:v>46.34</c:v>
                </c:pt>
                <c:pt idx="10">
                  <c:v>71.599999999999994</c:v>
                </c:pt>
                <c:pt idx="11">
                  <c:v>56.26</c:v>
                </c:pt>
                <c:pt idx="12">
                  <c:v>62.4</c:v>
                </c:pt>
                <c:pt idx="13">
                  <c:v>63.43</c:v>
                </c:pt>
                <c:pt idx="14">
                  <c:v>60.62</c:v>
                </c:pt>
                <c:pt idx="15">
                  <c:v>63.48</c:v>
                </c:pt>
                <c:pt idx="16">
                  <c:v>61.92</c:v>
                </c:pt>
                <c:pt idx="17">
                  <c:v>60.9</c:v>
                </c:pt>
                <c:pt idx="18">
                  <c:v>65.39</c:v>
                </c:pt>
                <c:pt idx="19">
                  <c:v>38.909999999999997</c:v>
                </c:pt>
                <c:pt idx="20">
                  <c:v>37.950000000000003</c:v>
                </c:pt>
                <c:pt idx="21">
                  <c:v>52.49</c:v>
                </c:pt>
                <c:pt idx="22">
                  <c:v>35.950000000000003</c:v>
                </c:pt>
                <c:pt idx="23">
                  <c:v>51.53</c:v>
                </c:pt>
                <c:pt idx="24">
                  <c:v>40.31</c:v>
                </c:pt>
                <c:pt idx="25">
                  <c:v>55.25</c:v>
                </c:pt>
                <c:pt idx="26">
                  <c:v>34.96</c:v>
                </c:pt>
                <c:pt idx="27">
                  <c:v>47.67</c:v>
                </c:pt>
                <c:pt idx="28">
                  <c:v>52.59</c:v>
                </c:pt>
                <c:pt idx="29">
                  <c:v>42.92</c:v>
                </c:pt>
                <c:pt idx="30">
                  <c:v>18.71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July!$A$2:$A$32</c:f>
              <c:numCache>
                <c:formatCode>m/d/yyyy</c:formatCode>
                <c:ptCount val="31"/>
                <c:pt idx="0">
                  <c:v>41456</c:v>
                </c:pt>
                <c:pt idx="1">
                  <c:v>41457</c:v>
                </c:pt>
                <c:pt idx="2">
                  <c:v>41458</c:v>
                </c:pt>
                <c:pt idx="3">
                  <c:v>41459</c:v>
                </c:pt>
                <c:pt idx="4">
                  <c:v>41460</c:v>
                </c:pt>
                <c:pt idx="5">
                  <c:v>41461</c:v>
                </c:pt>
                <c:pt idx="6">
                  <c:v>41462</c:v>
                </c:pt>
                <c:pt idx="7">
                  <c:v>41463</c:v>
                </c:pt>
                <c:pt idx="8">
                  <c:v>41464</c:v>
                </c:pt>
                <c:pt idx="9">
                  <c:v>41465</c:v>
                </c:pt>
                <c:pt idx="10">
                  <c:v>41466</c:v>
                </c:pt>
                <c:pt idx="11">
                  <c:v>41467</c:v>
                </c:pt>
                <c:pt idx="12">
                  <c:v>41468</c:v>
                </c:pt>
                <c:pt idx="13">
                  <c:v>41469</c:v>
                </c:pt>
                <c:pt idx="14">
                  <c:v>41470</c:v>
                </c:pt>
                <c:pt idx="15">
                  <c:v>41471</c:v>
                </c:pt>
                <c:pt idx="16">
                  <c:v>41472</c:v>
                </c:pt>
                <c:pt idx="17">
                  <c:v>41473</c:v>
                </c:pt>
                <c:pt idx="18">
                  <c:v>41474</c:v>
                </c:pt>
                <c:pt idx="19">
                  <c:v>41475</c:v>
                </c:pt>
                <c:pt idx="20">
                  <c:v>41476</c:v>
                </c:pt>
                <c:pt idx="21">
                  <c:v>41477</c:v>
                </c:pt>
                <c:pt idx="22">
                  <c:v>41478</c:v>
                </c:pt>
                <c:pt idx="23">
                  <c:v>41479</c:v>
                </c:pt>
                <c:pt idx="24">
                  <c:v>41480</c:v>
                </c:pt>
                <c:pt idx="25">
                  <c:v>41481</c:v>
                </c:pt>
                <c:pt idx="26">
                  <c:v>41482</c:v>
                </c:pt>
                <c:pt idx="27">
                  <c:v>41483</c:v>
                </c:pt>
                <c:pt idx="28">
                  <c:v>41484</c:v>
                </c:pt>
                <c:pt idx="29">
                  <c:v>41485</c:v>
                </c:pt>
                <c:pt idx="30">
                  <c:v>41486</c:v>
                </c:pt>
              </c:numCache>
            </c:numRef>
          </c:cat>
          <c:val>
            <c:numRef>
              <c:f>July!$C$2:$C$32</c:f>
              <c:numCache>
                <c:formatCode>_(* #,##0.00_);_(* \(#,##0.00\);_(* "-"??_);_(@_)</c:formatCode>
                <c:ptCount val="31"/>
                <c:pt idx="0">
                  <c:v>41.99</c:v>
                </c:pt>
                <c:pt idx="1">
                  <c:v>14.31</c:v>
                </c:pt>
                <c:pt idx="2">
                  <c:v>10.86</c:v>
                </c:pt>
                <c:pt idx="3">
                  <c:v>30.02</c:v>
                </c:pt>
                <c:pt idx="4">
                  <c:v>51.16</c:v>
                </c:pt>
                <c:pt idx="5">
                  <c:v>16.84</c:v>
                </c:pt>
                <c:pt idx="6">
                  <c:v>22.44</c:v>
                </c:pt>
                <c:pt idx="7">
                  <c:v>40.28</c:v>
                </c:pt>
                <c:pt idx="8">
                  <c:v>29.23</c:v>
                </c:pt>
                <c:pt idx="9">
                  <c:v>37.659999999999997</c:v>
                </c:pt>
                <c:pt idx="10">
                  <c:v>48.18</c:v>
                </c:pt>
                <c:pt idx="11">
                  <c:v>45.7</c:v>
                </c:pt>
                <c:pt idx="12">
                  <c:v>39.380000000000003</c:v>
                </c:pt>
                <c:pt idx="13">
                  <c:v>21.83</c:v>
                </c:pt>
                <c:pt idx="14">
                  <c:v>49.35</c:v>
                </c:pt>
                <c:pt idx="15">
                  <c:v>16.190000000000001</c:v>
                </c:pt>
                <c:pt idx="16">
                  <c:v>43.1</c:v>
                </c:pt>
                <c:pt idx="17">
                  <c:v>26.67</c:v>
                </c:pt>
                <c:pt idx="18">
                  <c:v>38.369999999999997</c:v>
                </c:pt>
                <c:pt idx="19">
                  <c:v>35.119999999999997</c:v>
                </c:pt>
                <c:pt idx="20">
                  <c:v>53.8</c:v>
                </c:pt>
                <c:pt idx="21">
                  <c:v>64.03</c:v>
                </c:pt>
                <c:pt idx="22">
                  <c:v>69.23</c:v>
                </c:pt>
                <c:pt idx="23">
                  <c:v>65.239999999999995</c:v>
                </c:pt>
                <c:pt idx="24">
                  <c:v>53.47</c:v>
                </c:pt>
                <c:pt idx="25">
                  <c:v>57.42</c:v>
                </c:pt>
                <c:pt idx="26">
                  <c:v>57.47</c:v>
                </c:pt>
                <c:pt idx="27">
                  <c:v>54.32</c:v>
                </c:pt>
                <c:pt idx="28">
                  <c:v>41.88</c:v>
                </c:pt>
                <c:pt idx="29">
                  <c:v>48.4</c:v>
                </c:pt>
                <c:pt idx="30">
                  <c:v>24.78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602112"/>
        <c:axId val="88603648"/>
      </c:lineChart>
      <c:dateAx>
        <c:axId val="8860211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8603648"/>
        <c:crosses val="autoZero"/>
        <c:auto val="1"/>
        <c:lblOffset val="100"/>
        <c:baseTimeUnit val="days"/>
      </c:dateAx>
      <c:valAx>
        <c:axId val="8860364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8860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at CEW</dc:creator>
  <cp:lastModifiedBy>Roger at CEW</cp:lastModifiedBy>
  <cp:revision>7</cp:revision>
  <cp:lastPrinted>2013-06-14T17:08:00Z</cp:lastPrinted>
  <dcterms:created xsi:type="dcterms:W3CDTF">2013-07-31T18:00:00Z</dcterms:created>
  <dcterms:modified xsi:type="dcterms:W3CDTF">2013-08-01T07:15:00Z</dcterms:modified>
</cp:coreProperties>
</file>