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20501" w:rsidTr="007826A6">
        <w:tc>
          <w:tcPr>
            <w:tcW w:w="4621" w:type="dxa"/>
            <w:vMerge w:val="restart"/>
          </w:tcPr>
          <w:p w:rsidR="00A20501" w:rsidRDefault="00A20501" w:rsidP="007826A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EDA010A" wp14:editId="3C66BFEA">
                  <wp:extent cx="2242800" cy="1569600"/>
                  <wp:effectExtent l="0" t="0" r="5715" b="0"/>
                  <wp:docPr id="1" name="Picture 1" descr="CEW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W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00" cy="15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A20501" w:rsidRPr="00B57CB0" w:rsidRDefault="00A20501" w:rsidP="007826A6">
            <w:pPr>
              <w:jc w:val="center"/>
              <w:rPr>
                <w:sz w:val="96"/>
              </w:rPr>
            </w:pPr>
            <w:r w:rsidRPr="00B57CB0">
              <w:rPr>
                <w:sz w:val="96"/>
              </w:rPr>
              <w:t>SOLAR PV</w:t>
            </w:r>
          </w:p>
          <w:p w:rsidR="00A20501" w:rsidRDefault="00A20501" w:rsidP="007826A6">
            <w:pPr>
              <w:jc w:val="center"/>
            </w:pPr>
            <w:r w:rsidRPr="00B57CB0">
              <w:rPr>
                <w:sz w:val="40"/>
              </w:rPr>
              <w:t>MONITORING REPORT</w:t>
            </w:r>
          </w:p>
        </w:tc>
      </w:tr>
      <w:tr w:rsidR="00A20501" w:rsidTr="007826A6">
        <w:tc>
          <w:tcPr>
            <w:tcW w:w="4621" w:type="dxa"/>
            <w:vMerge/>
          </w:tcPr>
          <w:p w:rsidR="00A20501" w:rsidRDefault="00A20501" w:rsidP="007826A6"/>
        </w:tc>
        <w:tc>
          <w:tcPr>
            <w:tcW w:w="4621" w:type="dxa"/>
            <w:vAlign w:val="bottom"/>
          </w:tcPr>
          <w:p w:rsidR="00A20501" w:rsidRDefault="00E86EE0" w:rsidP="007826A6">
            <w:pPr>
              <w:jc w:val="center"/>
            </w:pPr>
            <w:r>
              <w:rPr>
                <w:sz w:val="36"/>
              </w:rPr>
              <w:t>January 2014</w:t>
            </w:r>
          </w:p>
        </w:tc>
      </w:tr>
    </w:tbl>
    <w:p w:rsidR="001F7E74" w:rsidRDefault="001F7E74"/>
    <w:p w:rsidR="00A20501" w:rsidRDefault="00A20501">
      <w:pPr>
        <w:sectPr w:rsidR="00A205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20501" w:rsidRDefault="00A20501" w:rsidP="00A20501">
      <w:pPr>
        <w:rPr>
          <w:b/>
          <w:sz w:val="28"/>
        </w:rPr>
      </w:pPr>
    </w:p>
    <w:p w:rsidR="00A20501" w:rsidRPr="009D2395" w:rsidRDefault="004B6388" w:rsidP="00A20501">
      <w:pPr>
        <w:rPr>
          <w:b/>
          <w:sz w:val="28"/>
        </w:rPr>
      </w:pPr>
      <w:r>
        <w:rPr>
          <w:b/>
          <w:sz w:val="28"/>
        </w:rPr>
        <w:t>A</w:t>
      </w:r>
      <w:r w:rsidR="009E5669">
        <w:rPr>
          <w:b/>
          <w:sz w:val="28"/>
        </w:rPr>
        <w:t xml:space="preserve"> bright </w:t>
      </w:r>
      <w:r>
        <w:rPr>
          <w:b/>
          <w:sz w:val="28"/>
        </w:rPr>
        <w:t>start</w:t>
      </w:r>
      <w:r w:rsidR="009E5669">
        <w:rPr>
          <w:b/>
          <w:sz w:val="28"/>
        </w:rPr>
        <w:t xml:space="preserve"> to the year</w:t>
      </w:r>
    </w:p>
    <w:p w:rsidR="00253858" w:rsidRPr="00C335D6" w:rsidRDefault="004B6388" w:rsidP="00A20501">
      <w:pPr>
        <w:rPr>
          <w:sz w:val="24"/>
        </w:rPr>
        <w:sectPr w:rsidR="00253858" w:rsidRPr="00C335D6" w:rsidSect="00A2050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4"/>
        </w:rPr>
        <w:t>Despite dull weather at the beginning and end of the month, January got 2014 off to a bright start, with generation at both Stratford and Warwick hospitals well above the levels seen in January 2013.</w:t>
      </w:r>
    </w:p>
    <w:p w:rsidR="00A20501" w:rsidRPr="009D2395" w:rsidRDefault="00A20501" w:rsidP="00A20501">
      <w:pPr>
        <w:rPr>
          <w:b/>
          <w:sz w:val="28"/>
        </w:rPr>
      </w:pPr>
      <w:r w:rsidRPr="009D2395">
        <w:rPr>
          <w:b/>
          <w:sz w:val="28"/>
        </w:rPr>
        <w:lastRenderedPageBreak/>
        <w:t>W</w:t>
      </w:r>
      <w:r w:rsidR="009D1133">
        <w:rPr>
          <w:b/>
          <w:sz w:val="28"/>
        </w:rPr>
        <w:t xml:space="preserve">arwick Hospital – performance in </w:t>
      </w:r>
      <w:r w:rsidR="00E86EE0">
        <w:rPr>
          <w:b/>
          <w:sz w:val="28"/>
        </w:rPr>
        <w:t>January 2014</w:t>
      </w:r>
    </w:p>
    <w:p w:rsidR="00A70BCE" w:rsidRDefault="00B12432" w:rsidP="00A20501">
      <w:pPr>
        <w:rPr>
          <w:sz w:val="24"/>
        </w:rPr>
      </w:pPr>
      <w:r>
        <w:rPr>
          <w:sz w:val="24"/>
        </w:rPr>
        <w:t>Output from</w:t>
      </w:r>
      <w:r w:rsidR="00A20501">
        <w:rPr>
          <w:sz w:val="24"/>
        </w:rPr>
        <w:t xml:space="preserve"> the solar PV array at Warwick Hospital </w:t>
      </w:r>
      <w:r w:rsidR="00E968E7">
        <w:rPr>
          <w:sz w:val="24"/>
        </w:rPr>
        <w:t>in</w:t>
      </w:r>
      <w:r w:rsidR="00E22EE7">
        <w:rPr>
          <w:sz w:val="24"/>
        </w:rPr>
        <w:t xml:space="preserve"> </w:t>
      </w:r>
      <w:r w:rsidR="004B6388">
        <w:rPr>
          <w:sz w:val="24"/>
        </w:rPr>
        <w:t>January 2014</w:t>
      </w:r>
      <w:r w:rsidR="00E22EE7">
        <w:rPr>
          <w:sz w:val="24"/>
        </w:rPr>
        <w:t xml:space="preserve"> </w:t>
      </w:r>
      <w:r w:rsidR="004B6388">
        <w:rPr>
          <w:sz w:val="24"/>
        </w:rPr>
        <w:t>was nearly 40</w:t>
      </w:r>
      <w:r>
        <w:rPr>
          <w:sz w:val="24"/>
        </w:rPr>
        <w:t xml:space="preserve"> per cent higher than</w:t>
      </w:r>
      <w:r w:rsidR="00A20501">
        <w:rPr>
          <w:sz w:val="24"/>
        </w:rPr>
        <w:t xml:space="preserve"> in the same m</w:t>
      </w:r>
      <w:r w:rsidR="004B6388">
        <w:rPr>
          <w:sz w:val="24"/>
        </w:rPr>
        <w:t>onth last year. Almost 1,56</w:t>
      </w:r>
      <w:r w:rsidR="009E5669">
        <w:rPr>
          <w:sz w:val="24"/>
        </w:rPr>
        <w:t>0</w:t>
      </w:r>
      <w:r w:rsidR="00E968E7">
        <w:rPr>
          <w:sz w:val="24"/>
        </w:rPr>
        <w:t xml:space="preserve"> units </w:t>
      </w:r>
      <w:r w:rsidR="00A20501">
        <w:rPr>
          <w:sz w:val="24"/>
        </w:rPr>
        <w:t xml:space="preserve">were generated during the </w:t>
      </w:r>
      <w:r w:rsidR="004B6388">
        <w:rPr>
          <w:sz w:val="24"/>
        </w:rPr>
        <w:t>month – an average of 50</w:t>
      </w:r>
      <w:r w:rsidR="00A20501">
        <w:rPr>
          <w:sz w:val="24"/>
        </w:rPr>
        <w:t xml:space="preserve"> units a day</w:t>
      </w:r>
      <w:r>
        <w:rPr>
          <w:sz w:val="24"/>
        </w:rPr>
        <w:t xml:space="preserve"> </w:t>
      </w:r>
      <w:r w:rsidR="009E5669">
        <w:rPr>
          <w:sz w:val="24"/>
        </w:rPr>
        <w:t xml:space="preserve">- </w:t>
      </w:r>
      <w:r>
        <w:rPr>
          <w:sz w:val="24"/>
        </w:rPr>
        <w:t xml:space="preserve">compared with </w:t>
      </w:r>
      <w:r w:rsidR="004B6388">
        <w:rPr>
          <w:sz w:val="24"/>
        </w:rPr>
        <w:t>just over 1,1</w:t>
      </w:r>
      <w:r w:rsidR="009E5669">
        <w:rPr>
          <w:sz w:val="24"/>
        </w:rPr>
        <w:t xml:space="preserve">00 units at </w:t>
      </w:r>
      <w:r>
        <w:rPr>
          <w:sz w:val="24"/>
        </w:rPr>
        <w:t xml:space="preserve">a daily average of </w:t>
      </w:r>
      <w:r w:rsidR="004B6388">
        <w:rPr>
          <w:sz w:val="24"/>
        </w:rPr>
        <w:t>just under 36</w:t>
      </w:r>
      <w:r w:rsidR="009E5669">
        <w:rPr>
          <w:sz w:val="24"/>
        </w:rPr>
        <w:t xml:space="preserve"> units a day</w:t>
      </w:r>
      <w:r>
        <w:rPr>
          <w:sz w:val="24"/>
        </w:rPr>
        <w:t xml:space="preserve"> in 2012</w:t>
      </w:r>
      <w:r w:rsidR="00A20501">
        <w:rPr>
          <w:sz w:val="24"/>
        </w:rPr>
        <w:t xml:space="preserve">. </w:t>
      </w:r>
    </w:p>
    <w:p w:rsidR="00B5161D" w:rsidRDefault="00A90132" w:rsidP="00A20501">
      <w:pPr>
        <w:rPr>
          <w:sz w:val="24"/>
        </w:rPr>
      </w:pPr>
      <w:r>
        <w:rPr>
          <w:sz w:val="24"/>
        </w:rPr>
        <w:t>Pea</w:t>
      </w:r>
      <w:r w:rsidR="003C56B4">
        <w:rPr>
          <w:sz w:val="24"/>
        </w:rPr>
        <w:t xml:space="preserve">k performance was on </w:t>
      </w:r>
      <w:r w:rsidR="004B6388">
        <w:rPr>
          <w:sz w:val="24"/>
        </w:rPr>
        <w:t>1</w:t>
      </w:r>
      <w:r w:rsidR="009E5669">
        <w:rPr>
          <w:sz w:val="24"/>
        </w:rPr>
        <w:t>9</w:t>
      </w:r>
      <w:r w:rsidR="00B12432">
        <w:rPr>
          <w:sz w:val="24"/>
        </w:rPr>
        <w:t xml:space="preserve"> </w:t>
      </w:r>
      <w:r w:rsidR="004B6388">
        <w:rPr>
          <w:sz w:val="24"/>
        </w:rPr>
        <w:t>January</w:t>
      </w:r>
      <w:r w:rsidR="00253858">
        <w:rPr>
          <w:sz w:val="24"/>
        </w:rPr>
        <w:t xml:space="preserve"> </w:t>
      </w:r>
      <w:r w:rsidR="004B6388">
        <w:rPr>
          <w:sz w:val="24"/>
        </w:rPr>
        <w:t>when 112</w:t>
      </w:r>
      <w:r w:rsidR="00B12432">
        <w:rPr>
          <w:sz w:val="24"/>
        </w:rPr>
        <w:t>.6</w:t>
      </w:r>
      <w:r>
        <w:rPr>
          <w:sz w:val="24"/>
        </w:rPr>
        <w:t xml:space="preserve"> units were generated</w:t>
      </w:r>
      <w:r w:rsidR="00B12432">
        <w:rPr>
          <w:sz w:val="24"/>
        </w:rPr>
        <w:t>: one of</w:t>
      </w:r>
      <w:r w:rsidR="004B6388">
        <w:rPr>
          <w:sz w:val="24"/>
        </w:rPr>
        <w:t xml:space="preserve"> three</w:t>
      </w:r>
      <w:r w:rsidR="00B12432">
        <w:rPr>
          <w:sz w:val="24"/>
        </w:rPr>
        <w:t xml:space="preserve"> day</w:t>
      </w:r>
      <w:r w:rsidR="004B6388">
        <w:rPr>
          <w:sz w:val="24"/>
        </w:rPr>
        <w:t>s in the month when more than 10</w:t>
      </w:r>
      <w:r w:rsidR="00B12432">
        <w:rPr>
          <w:sz w:val="24"/>
        </w:rPr>
        <w:t>0 units</w:t>
      </w:r>
      <w:r w:rsidR="009E5669">
        <w:rPr>
          <w:sz w:val="24"/>
        </w:rPr>
        <w:t xml:space="preserve"> were generated</w:t>
      </w:r>
      <w:r w:rsidR="005471A3">
        <w:rPr>
          <w:sz w:val="24"/>
        </w:rPr>
        <w:t>, and the highest output in a day since 12 November</w:t>
      </w:r>
      <w:r w:rsidR="008268E5">
        <w:rPr>
          <w:sz w:val="24"/>
        </w:rPr>
        <w:t xml:space="preserve"> last year</w:t>
      </w:r>
      <w:r w:rsidR="00B12432">
        <w:rPr>
          <w:sz w:val="24"/>
        </w:rPr>
        <w:t>.</w:t>
      </w:r>
      <w:r w:rsidR="00253858">
        <w:rPr>
          <w:sz w:val="24"/>
        </w:rPr>
        <w:t xml:space="preserve"> </w:t>
      </w:r>
      <w:r w:rsidR="00B12432">
        <w:rPr>
          <w:sz w:val="24"/>
        </w:rPr>
        <w:t>L</w:t>
      </w:r>
      <w:r w:rsidR="003C0476">
        <w:rPr>
          <w:sz w:val="24"/>
        </w:rPr>
        <w:t xml:space="preserve">owest </w:t>
      </w:r>
      <w:r w:rsidR="00253858">
        <w:rPr>
          <w:sz w:val="24"/>
        </w:rPr>
        <w:t xml:space="preserve">output </w:t>
      </w:r>
      <w:r w:rsidR="003C0476">
        <w:rPr>
          <w:sz w:val="24"/>
        </w:rPr>
        <w:t xml:space="preserve">for the month </w:t>
      </w:r>
      <w:r w:rsidR="00605678">
        <w:rPr>
          <w:sz w:val="24"/>
        </w:rPr>
        <w:t xml:space="preserve">was </w:t>
      </w:r>
      <w:r w:rsidR="005471A3">
        <w:rPr>
          <w:sz w:val="24"/>
        </w:rPr>
        <w:t>5.7 units on 1 January</w:t>
      </w:r>
      <w:r>
        <w:rPr>
          <w:sz w:val="24"/>
        </w:rPr>
        <w:t>.</w:t>
      </w:r>
      <w:r w:rsidR="00FA1420">
        <w:rPr>
          <w:sz w:val="24"/>
        </w:rPr>
        <w:t xml:space="preserve"> </w:t>
      </w:r>
      <w:r w:rsidR="00B12432">
        <w:rPr>
          <w:sz w:val="24"/>
        </w:rPr>
        <w:t>D</w:t>
      </w:r>
      <w:r w:rsidR="00A20501">
        <w:rPr>
          <w:sz w:val="24"/>
        </w:rPr>
        <w:t xml:space="preserve">aily output </w:t>
      </w:r>
      <w:r w:rsidR="00A70BCE">
        <w:rPr>
          <w:sz w:val="24"/>
        </w:rPr>
        <w:t>fell below 2</w:t>
      </w:r>
      <w:r w:rsidR="00E968E7">
        <w:rPr>
          <w:sz w:val="24"/>
        </w:rPr>
        <w:t>0 units</w:t>
      </w:r>
      <w:r w:rsidR="00253858">
        <w:rPr>
          <w:sz w:val="24"/>
        </w:rPr>
        <w:t xml:space="preserve"> </w:t>
      </w:r>
      <w:r w:rsidR="00A70BCE">
        <w:rPr>
          <w:sz w:val="24"/>
        </w:rPr>
        <w:t>on 7</w:t>
      </w:r>
      <w:r w:rsidR="00EB1892">
        <w:rPr>
          <w:sz w:val="24"/>
        </w:rPr>
        <w:t xml:space="preserve"> days</w:t>
      </w:r>
      <w:r w:rsidR="005471A3">
        <w:rPr>
          <w:sz w:val="24"/>
        </w:rPr>
        <w:t>, but was above 60 units in a day on ten occasions.</w:t>
      </w:r>
    </w:p>
    <w:p w:rsidR="00A20501" w:rsidRDefault="00A20501" w:rsidP="00A20501">
      <w:pPr>
        <w:rPr>
          <w:sz w:val="24"/>
        </w:rPr>
      </w:pPr>
    </w:p>
    <w:p w:rsidR="00A70BCE" w:rsidRDefault="00A70BCE" w:rsidP="00A20501">
      <w:pPr>
        <w:rPr>
          <w:sz w:val="24"/>
        </w:rPr>
      </w:pPr>
    </w:p>
    <w:p w:rsidR="003C56B4" w:rsidRDefault="003C56B4" w:rsidP="00E22EE7">
      <w:pPr>
        <w:jc w:val="center"/>
        <w:rPr>
          <w:sz w:val="24"/>
          <w:u w:val="single"/>
        </w:rPr>
      </w:pPr>
    </w:p>
    <w:p w:rsidR="00A20501" w:rsidRDefault="00A20501" w:rsidP="00E22EE7">
      <w:pPr>
        <w:jc w:val="center"/>
        <w:rPr>
          <w:sz w:val="24"/>
          <w:u w:val="single"/>
        </w:rPr>
      </w:pPr>
      <w:r w:rsidRPr="00551BE4">
        <w:rPr>
          <w:sz w:val="24"/>
          <w:u w:val="single"/>
        </w:rPr>
        <w:lastRenderedPageBreak/>
        <w:t>Daily output: Warw</w:t>
      </w:r>
      <w:r>
        <w:rPr>
          <w:sz w:val="24"/>
          <w:u w:val="single"/>
        </w:rPr>
        <w:t xml:space="preserve">ick Hospital </w:t>
      </w:r>
      <w:r w:rsidR="00E86EE0">
        <w:rPr>
          <w:sz w:val="24"/>
          <w:u w:val="single"/>
        </w:rPr>
        <w:t>January 2013</w:t>
      </w:r>
      <w:r w:rsidRPr="00551BE4">
        <w:rPr>
          <w:sz w:val="24"/>
          <w:u w:val="single"/>
        </w:rPr>
        <w:t xml:space="preserve"> </w:t>
      </w:r>
      <w:r w:rsidR="005471A3">
        <w:rPr>
          <w:sz w:val="24"/>
          <w:u w:val="single"/>
        </w:rPr>
        <w:t>(blue</w:t>
      </w:r>
      <w:r>
        <w:rPr>
          <w:sz w:val="24"/>
          <w:u w:val="single"/>
        </w:rPr>
        <w:t xml:space="preserve">) </w:t>
      </w:r>
      <w:r w:rsidRPr="00551BE4">
        <w:rPr>
          <w:sz w:val="24"/>
          <w:u w:val="single"/>
        </w:rPr>
        <w:t xml:space="preserve">&amp; </w:t>
      </w:r>
      <w:r w:rsidR="00E86EE0">
        <w:rPr>
          <w:sz w:val="24"/>
          <w:u w:val="single"/>
        </w:rPr>
        <w:t>January</w:t>
      </w:r>
      <w:r w:rsidR="00C335D6">
        <w:rPr>
          <w:sz w:val="24"/>
          <w:u w:val="single"/>
        </w:rPr>
        <w:t xml:space="preserve"> </w:t>
      </w:r>
      <w:r w:rsidR="00E86EE0">
        <w:rPr>
          <w:sz w:val="24"/>
          <w:u w:val="single"/>
        </w:rPr>
        <w:t>2014</w:t>
      </w:r>
      <w:r w:rsidR="005471A3">
        <w:rPr>
          <w:sz w:val="24"/>
          <w:u w:val="single"/>
        </w:rPr>
        <w:t xml:space="preserve"> (green</w:t>
      </w:r>
      <w:r>
        <w:rPr>
          <w:sz w:val="24"/>
          <w:u w:val="single"/>
        </w:rPr>
        <w:t>)</w:t>
      </w:r>
    </w:p>
    <w:p w:rsidR="00A20501" w:rsidRDefault="005471A3" w:rsidP="00A20501">
      <w:pPr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898AFC6" wp14:editId="4BF4A55E">
            <wp:extent cx="2959200" cy="1774800"/>
            <wp:effectExtent l="0" t="0" r="12700" b="16510"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73B5" w:rsidRDefault="00EB1892" w:rsidP="006A69B4">
      <w:pPr>
        <w:spacing w:before="360"/>
        <w:rPr>
          <w:sz w:val="24"/>
        </w:rPr>
      </w:pPr>
      <w:r>
        <w:rPr>
          <w:sz w:val="24"/>
        </w:rPr>
        <w:t>Daily g</w:t>
      </w:r>
      <w:r w:rsidR="00E968E7">
        <w:rPr>
          <w:sz w:val="24"/>
        </w:rPr>
        <w:t>e</w:t>
      </w:r>
      <w:r w:rsidR="00A74B34">
        <w:rPr>
          <w:sz w:val="24"/>
        </w:rPr>
        <w:t>ne</w:t>
      </w:r>
      <w:r w:rsidR="00B5161D">
        <w:rPr>
          <w:sz w:val="24"/>
        </w:rPr>
        <w:t xml:space="preserve">ration during </w:t>
      </w:r>
      <w:r w:rsidR="005471A3">
        <w:rPr>
          <w:sz w:val="24"/>
        </w:rPr>
        <w:t>January 2014</w:t>
      </w:r>
      <w:r w:rsidR="00B5161D">
        <w:rPr>
          <w:sz w:val="24"/>
        </w:rPr>
        <w:t xml:space="preserve"> </w:t>
      </w:r>
      <w:r>
        <w:rPr>
          <w:sz w:val="24"/>
        </w:rPr>
        <w:t xml:space="preserve">was </w:t>
      </w:r>
      <w:r w:rsidR="005471A3">
        <w:rPr>
          <w:sz w:val="24"/>
        </w:rPr>
        <w:t>20</w:t>
      </w:r>
      <w:r w:rsidR="00B12432">
        <w:rPr>
          <w:sz w:val="24"/>
        </w:rPr>
        <w:t xml:space="preserve"> pe</w:t>
      </w:r>
      <w:r w:rsidR="00860E32">
        <w:rPr>
          <w:sz w:val="24"/>
        </w:rPr>
        <w:t xml:space="preserve">r cent </w:t>
      </w:r>
      <w:r w:rsidR="005471A3">
        <w:rPr>
          <w:sz w:val="24"/>
        </w:rPr>
        <w:t>higher</w:t>
      </w:r>
      <w:r w:rsidR="00860E32">
        <w:rPr>
          <w:sz w:val="24"/>
        </w:rPr>
        <w:t xml:space="preserve"> than in </w:t>
      </w:r>
      <w:r w:rsidR="005471A3">
        <w:rPr>
          <w:sz w:val="24"/>
        </w:rPr>
        <w:t>December 2013</w:t>
      </w:r>
      <w:r w:rsidR="00860E32">
        <w:rPr>
          <w:sz w:val="24"/>
        </w:rPr>
        <w:t xml:space="preserve"> and</w:t>
      </w:r>
      <w:r w:rsidR="00B12432">
        <w:rPr>
          <w:sz w:val="24"/>
        </w:rPr>
        <w:t xml:space="preserve"> </w:t>
      </w:r>
      <w:r w:rsidR="005471A3">
        <w:rPr>
          <w:sz w:val="24"/>
        </w:rPr>
        <w:t>just 10 per cent below the level of November 2013 – so the downward trend in output through the winter has reversed. Output was boosted by five</w:t>
      </w:r>
      <w:r w:rsidR="00A70BCE">
        <w:rPr>
          <w:sz w:val="24"/>
        </w:rPr>
        <w:t xml:space="preserve"> bright days </w:t>
      </w:r>
      <w:r w:rsidR="005471A3">
        <w:rPr>
          <w:sz w:val="24"/>
        </w:rPr>
        <w:t>from 19-24 January, when over 400 units were generated</w:t>
      </w:r>
      <w:r w:rsidR="00860E32">
        <w:rPr>
          <w:sz w:val="24"/>
        </w:rPr>
        <w:t>.</w:t>
      </w:r>
    </w:p>
    <w:p w:rsidR="00931068" w:rsidRDefault="00931068" w:rsidP="006A69B4">
      <w:pPr>
        <w:spacing w:before="360"/>
        <w:rPr>
          <w:sz w:val="24"/>
        </w:rPr>
      </w:pPr>
    </w:p>
    <w:p w:rsidR="00B5161D" w:rsidRDefault="00B5161D" w:rsidP="006A69B4">
      <w:pPr>
        <w:spacing w:before="360"/>
        <w:rPr>
          <w:sz w:val="24"/>
        </w:rPr>
      </w:pPr>
    </w:p>
    <w:p w:rsidR="00A20501" w:rsidRPr="009D2395" w:rsidRDefault="00A20501" w:rsidP="00A20501">
      <w:pPr>
        <w:rPr>
          <w:b/>
          <w:sz w:val="28"/>
        </w:rPr>
      </w:pPr>
      <w:r w:rsidRPr="009D2395">
        <w:rPr>
          <w:b/>
          <w:sz w:val="28"/>
        </w:rPr>
        <w:lastRenderedPageBreak/>
        <w:t>Warwick Hospital –</w:t>
      </w:r>
      <w:r w:rsidR="00050381">
        <w:rPr>
          <w:b/>
          <w:sz w:val="28"/>
        </w:rPr>
        <w:t xml:space="preserve"> generation </w:t>
      </w:r>
      <w:r w:rsidR="005471A3">
        <w:rPr>
          <w:b/>
          <w:sz w:val="28"/>
        </w:rPr>
        <w:t>to date</w:t>
      </w:r>
    </w:p>
    <w:p w:rsidR="00A20501" w:rsidRPr="00551BE4" w:rsidRDefault="00A20501" w:rsidP="00A20501">
      <w:pPr>
        <w:rPr>
          <w:sz w:val="24"/>
        </w:rPr>
      </w:pPr>
      <w:r w:rsidRPr="00551BE4">
        <w:rPr>
          <w:sz w:val="24"/>
        </w:rPr>
        <w:t>The graph below shows the average</w:t>
      </w:r>
      <w:r w:rsidR="002623C9">
        <w:rPr>
          <w:sz w:val="24"/>
        </w:rPr>
        <w:t xml:space="preserve"> daily output </w:t>
      </w:r>
      <w:r w:rsidR="008E3BAF">
        <w:rPr>
          <w:sz w:val="24"/>
        </w:rPr>
        <w:t xml:space="preserve">for </w:t>
      </w:r>
      <w:r w:rsidR="00846E52">
        <w:rPr>
          <w:sz w:val="24"/>
        </w:rPr>
        <w:t xml:space="preserve">each month at Warwick Hospital since monitoring started in mid-February 2012. </w:t>
      </w:r>
      <w:r w:rsidR="008268E5">
        <w:rPr>
          <w:sz w:val="24"/>
        </w:rPr>
        <w:t>Note the</w:t>
      </w:r>
      <w:r w:rsidRPr="00551BE4">
        <w:rPr>
          <w:sz w:val="24"/>
        </w:rPr>
        <w:t xml:space="preserve"> data for February 2012 is for 12-29 February only.</w:t>
      </w:r>
      <w:r w:rsidR="00846E52">
        <w:rPr>
          <w:sz w:val="24"/>
        </w:rPr>
        <w:t xml:space="preserve"> The graph shows the “bell” shape expected by theory – but also the variation for the same month from one year to another.</w:t>
      </w:r>
    </w:p>
    <w:p w:rsidR="00A20501" w:rsidRDefault="00A20501" w:rsidP="00A20501">
      <w:pPr>
        <w:jc w:val="center"/>
        <w:rPr>
          <w:sz w:val="24"/>
          <w:u w:val="single"/>
        </w:rPr>
      </w:pPr>
      <w:r w:rsidRPr="00551BE4">
        <w:rPr>
          <w:sz w:val="24"/>
          <w:u w:val="single"/>
        </w:rPr>
        <w:t xml:space="preserve">Average daily output by month: </w:t>
      </w:r>
      <w:r w:rsidR="008E3BAF">
        <w:rPr>
          <w:sz w:val="24"/>
          <w:u w:val="single"/>
        </w:rPr>
        <w:t xml:space="preserve">Warwick Hospital </w:t>
      </w:r>
      <w:r w:rsidR="00846E52">
        <w:rPr>
          <w:sz w:val="24"/>
          <w:u w:val="single"/>
        </w:rPr>
        <w:t>–</w:t>
      </w:r>
      <w:r w:rsidR="008E3BAF">
        <w:rPr>
          <w:sz w:val="24"/>
          <w:u w:val="single"/>
        </w:rPr>
        <w:t xml:space="preserve"> </w:t>
      </w:r>
      <w:r w:rsidR="00846E52">
        <w:rPr>
          <w:sz w:val="24"/>
          <w:u w:val="single"/>
        </w:rPr>
        <w:t>to date</w:t>
      </w:r>
    </w:p>
    <w:p w:rsidR="00A20501" w:rsidRPr="009D1133" w:rsidRDefault="00A20501" w:rsidP="00A20501">
      <w:pPr>
        <w:jc w:val="center"/>
        <w:rPr>
          <w:sz w:val="16"/>
          <w:u w:val="single"/>
        </w:rPr>
      </w:pPr>
    </w:p>
    <w:p w:rsidR="00A20501" w:rsidRDefault="00846E52" w:rsidP="00A20501">
      <w:pPr>
        <w:jc w:val="center"/>
      </w:pPr>
      <w:r>
        <w:rPr>
          <w:noProof/>
          <w:lang w:eastAsia="en-GB"/>
        </w:rPr>
        <w:drawing>
          <wp:inline distT="0" distB="0" distL="0" distR="0" wp14:anchorId="7F243E15" wp14:editId="2A9AF4F5">
            <wp:extent cx="2642400" cy="1584000"/>
            <wp:effectExtent l="0" t="0" r="24765" b="16510"/>
            <wp:docPr id="6" name="Char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0501" w:rsidRPr="006A69B4" w:rsidRDefault="00A20501" w:rsidP="00A20501">
      <w:pPr>
        <w:rPr>
          <w:sz w:val="16"/>
        </w:rPr>
      </w:pPr>
    </w:p>
    <w:p w:rsidR="00273086" w:rsidRPr="009D2395" w:rsidRDefault="00273086" w:rsidP="00273086">
      <w:pPr>
        <w:rPr>
          <w:b/>
          <w:sz w:val="28"/>
        </w:rPr>
      </w:pPr>
      <w:r>
        <w:rPr>
          <w:b/>
          <w:sz w:val="28"/>
        </w:rPr>
        <w:t xml:space="preserve">Stratford </w:t>
      </w:r>
      <w:r w:rsidR="00EB1892">
        <w:rPr>
          <w:b/>
          <w:sz w:val="28"/>
        </w:rPr>
        <w:t>Hospi</w:t>
      </w:r>
      <w:r w:rsidR="008E3BAF">
        <w:rPr>
          <w:b/>
          <w:sz w:val="28"/>
        </w:rPr>
        <w:t>tal – performance in</w:t>
      </w:r>
      <w:r w:rsidR="00846E52">
        <w:rPr>
          <w:b/>
          <w:sz w:val="28"/>
        </w:rPr>
        <w:t xml:space="preserve"> January 2014</w:t>
      </w:r>
    </w:p>
    <w:p w:rsidR="0065119A" w:rsidRDefault="00846E52" w:rsidP="00273086">
      <w:pPr>
        <w:rPr>
          <w:sz w:val="24"/>
        </w:rPr>
      </w:pPr>
      <w:r>
        <w:rPr>
          <w:sz w:val="24"/>
        </w:rPr>
        <w:t>In January 2014</w:t>
      </w:r>
      <w:r w:rsidR="00273086">
        <w:rPr>
          <w:sz w:val="24"/>
        </w:rPr>
        <w:t xml:space="preserve"> the solar PV arr</w:t>
      </w:r>
      <w:r w:rsidR="002F6364">
        <w:rPr>
          <w:sz w:val="24"/>
        </w:rPr>
        <w:t xml:space="preserve">ay at Stratford </w:t>
      </w:r>
      <w:r w:rsidR="00A74B34">
        <w:rPr>
          <w:sz w:val="24"/>
        </w:rPr>
        <w:t xml:space="preserve">Hospital </w:t>
      </w:r>
      <w:r w:rsidR="002F6364">
        <w:rPr>
          <w:sz w:val="24"/>
        </w:rPr>
        <w:t>genera</w:t>
      </w:r>
      <w:r w:rsidR="002623C9">
        <w:rPr>
          <w:sz w:val="24"/>
        </w:rPr>
        <w:t xml:space="preserve">ted a </w:t>
      </w:r>
      <w:r w:rsidR="00860E32">
        <w:rPr>
          <w:sz w:val="24"/>
        </w:rPr>
        <w:t xml:space="preserve">total of </w:t>
      </w:r>
      <w:r>
        <w:rPr>
          <w:sz w:val="24"/>
        </w:rPr>
        <w:t>349</w:t>
      </w:r>
      <w:r w:rsidR="00A74B34">
        <w:rPr>
          <w:sz w:val="24"/>
        </w:rPr>
        <w:t xml:space="preserve"> units of electricity - a</w:t>
      </w:r>
      <w:r w:rsidR="00273086">
        <w:rPr>
          <w:sz w:val="24"/>
        </w:rPr>
        <w:t>n avera</w:t>
      </w:r>
      <w:r w:rsidR="002623C9">
        <w:rPr>
          <w:sz w:val="24"/>
        </w:rPr>
        <w:t xml:space="preserve">ge </w:t>
      </w:r>
      <w:r>
        <w:rPr>
          <w:sz w:val="24"/>
        </w:rPr>
        <w:t>of 11.3</w:t>
      </w:r>
      <w:r w:rsidR="00273086">
        <w:rPr>
          <w:sz w:val="24"/>
        </w:rPr>
        <w:t xml:space="preserve"> units a day. </w:t>
      </w:r>
      <w:r>
        <w:rPr>
          <w:sz w:val="24"/>
        </w:rPr>
        <w:t>Output was 35 per cent higher in January 2014</w:t>
      </w:r>
      <w:r w:rsidR="008E3BAF">
        <w:rPr>
          <w:sz w:val="24"/>
        </w:rPr>
        <w:t xml:space="preserve"> compared with</w:t>
      </w:r>
      <w:r w:rsidR="00A74B34">
        <w:rPr>
          <w:sz w:val="24"/>
        </w:rPr>
        <w:t xml:space="preserve"> </w:t>
      </w:r>
      <w:r>
        <w:rPr>
          <w:sz w:val="24"/>
        </w:rPr>
        <w:t>January 2013</w:t>
      </w:r>
      <w:r w:rsidR="00860E32">
        <w:rPr>
          <w:sz w:val="24"/>
        </w:rPr>
        <w:t xml:space="preserve">. </w:t>
      </w:r>
    </w:p>
    <w:p w:rsidR="00273086" w:rsidRDefault="00846E52" w:rsidP="00273086">
      <w:pPr>
        <w:rPr>
          <w:sz w:val="24"/>
        </w:rPr>
      </w:pPr>
      <w:r>
        <w:rPr>
          <w:sz w:val="24"/>
        </w:rPr>
        <w:t>Highest output was 26.2</w:t>
      </w:r>
      <w:r w:rsidR="008E3BAF">
        <w:rPr>
          <w:sz w:val="24"/>
        </w:rPr>
        <w:t xml:space="preserve"> units on </w:t>
      </w:r>
      <w:r>
        <w:rPr>
          <w:sz w:val="24"/>
        </w:rPr>
        <w:t>1</w:t>
      </w:r>
      <w:r w:rsidR="008E3BAF">
        <w:rPr>
          <w:sz w:val="24"/>
        </w:rPr>
        <w:t>9</w:t>
      </w:r>
      <w:r w:rsidR="00860E32">
        <w:rPr>
          <w:sz w:val="24"/>
        </w:rPr>
        <w:t xml:space="preserve"> </w:t>
      </w:r>
      <w:r>
        <w:rPr>
          <w:sz w:val="24"/>
        </w:rPr>
        <w:t>January</w:t>
      </w:r>
      <w:r w:rsidR="008E3BAF">
        <w:rPr>
          <w:sz w:val="24"/>
        </w:rPr>
        <w:t>, the same day as the peak output at Warwick Hospital.</w:t>
      </w:r>
      <w:r w:rsidR="003C315E">
        <w:rPr>
          <w:sz w:val="24"/>
        </w:rPr>
        <w:t xml:space="preserve"> </w:t>
      </w:r>
      <w:r w:rsidR="008E3BAF">
        <w:rPr>
          <w:sz w:val="24"/>
        </w:rPr>
        <w:t>L</w:t>
      </w:r>
      <w:r w:rsidR="009D1133">
        <w:rPr>
          <w:sz w:val="24"/>
        </w:rPr>
        <w:t>owest</w:t>
      </w:r>
      <w:r w:rsidR="006A69B4">
        <w:rPr>
          <w:sz w:val="24"/>
        </w:rPr>
        <w:t xml:space="preserve"> </w:t>
      </w:r>
      <w:r w:rsidR="00EB1892">
        <w:rPr>
          <w:sz w:val="24"/>
        </w:rPr>
        <w:t>out</w:t>
      </w:r>
      <w:r w:rsidR="00860E32">
        <w:rPr>
          <w:sz w:val="24"/>
        </w:rPr>
        <w:t xml:space="preserve">put was </w:t>
      </w:r>
      <w:r>
        <w:rPr>
          <w:sz w:val="24"/>
        </w:rPr>
        <w:t>1.4</w:t>
      </w:r>
      <w:r w:rsidR="002F6364">
        <w:rPr>
          <w:sz w:val="24"/>
        </w:rPr>
        <w:t xml:space="preserve"> units on </w:t>
      </w:r>
      <w:r>
        <w:rPr>
          <w:sz w:val="24"/>
        </w:rPr>
        <w:t>1 January</w:t>
      </w:r>
      <w:r w:rsidR="00053CD7">
        <w:rPr>
          <w:sz w:val="24"/>
        </w:rPr>
        <w:t xml:space="preserve"> – again matching the pattern at Warwick</w:t>
      </w:r>
      <w:r w:rsidR="00355A97">
        <w:rPr>
          <w:sz w:val="24"/>
        </w:rPr>
        <w:t xml:space="preserve">. </w:t>
      </w:r>
      <w:r w:rsidR="00825FA8">
        <w:rPr>
          <w:sz w:val="24"/>
        </w:rPr>
        <w:t>Daily</w:t>
      </w:r>
      <w:r>
        <w:rPr>
          <w:sz w:val="24"/>
        </w:rPr>
        <w:t xml:space="preserve"> output was above 20</w:t>
      </w:r>
      <w:r w:rsidR="00860E32">
        <w:rPr>
          <w:sz w:val="24"/>
        </w:rPr>
        <w:t xml:space="preserve"> units on </w:t>
      </w:r>
      <w:r>
        <w:rPr>
          <w:sz w:val="24"/>
        </w:rPr>
        <w:t>4</w:t>
      </w:r>
      <w:r w:rsidR="00355A97">
        <w:rPr>
          <w:sz w:val="24"/>
        </w:rPr>
        <w:t xml:space="preserve"> day</w:t>
      </w:r>
      <w:r w:rsidR="00860E32">
        <w:rPr>
          <w:sz w:val="24"/>
        </w:rPr>
        <w:t>s</w:t>
      </w:r>
      <w:r>
        <w:rPr>
          <w:sz w:val="24"/>
        </w:rPr>
        <w:t xml:space="preserve"> and above 15 units on 10 days.</w:t>
      </w:r>
      <w:r w:rsidR="00860E32">
        <w:rPr>
          <w:sz w:val="24"/>
        </w:rPr>
        <w:t xml:space="preserve"> </w:t>
      </w:r>
      <w:r>
        <w:rPr>
          <w:sz w:val="24"/>
        </w:rPr>
        <w:t>O</w:t>
      </w:r>
      <w:r w:rsidR="00053CD7">
        <w:rPr>
          <w:sz w:val="24"/>
        </w:rPr>
        <w:t xml:space="preserve">utput was </w:t>
      </w:r>
      <w:r>
        <w:rPr>
          <w:sz w:val="24"/>
        </w:rPr>
        <w:t xml:space="preserve">below 5 </w:t>
      </w:r>
      <w:r>
        <w:rPr>
          <w:sz w:val="24"/>
        </w:rPr>
        <w:lastRenderedPageBreak/>
        <w:t>units on 8</w:t>
      </w:r>
      <w:r w:rsidR="00860E32">
        <w:rPr>
          <w:sz w:val="24"/>
        </w:rPr>
        <w:t xml:space="preserve"> days.</w:t>
      </w:r>
      <w:r w:rsidR="0065119A">
        <w:rPr>
          <w:sz w:val="24"/>
        </w:rPr>
        <w:t xml:space="preserve"> </w:t>
      </w:r>
      <w:r w:rsidR="00273086">
        <w:rPr>
          <w:sz w:val="24"/>
        </w:rPr>
        <w:t>Ge</w:t>
      </w:r>
      <w:r w:rsidR="00355A97">
        <w:rPr>
          <w:sz w:val="24"/>
        </w:rPr>
        <w:t xml:space="preserve">neration during </w:t>
      </w:r>
      <w:r w:rsidR="00E86CA1">
        <w:rPr>
          <w:sz w:val="24"/>
        </w:rPr>
        <w:t>January 2014</w:t>
      </w:r>
      <w:r w:rsidR="00B5161D">
        <w:rPr>
          <w:sz w:val="24"/>
        </w:rPr>
        <w:t xml:space="preserve"> was</w:t>
      </w:r>
      <w:r w:rsidR="0065119A">
        <w:rPr>
          <w:sz w:val="24"/>
        </w:rPr>
        <w:t xml:space="preserve"> </w:t>
      </w:r>
      <w:r w:rsidR="00E86CA1">
        <w:rPr>
          <w:sz w:val="24"/>
        </w:rPr>
        <w:t>nearly 20 per cent above</w:t>
      </w:r>
      <w:r w:rsidR="00050381">
        <w:rPr>
          <w:sz w:val="24"/>
        </w:rPr>
        <w:t xml:space="preserve"> that seen in </w:t>
      </w:r>
      <w:r w:rsidR="00E86CA1">
        <w:rPr>
          <w:sz w:val="24"/>
        </w:rPr>
        <w:t>December and was also just above the level of generation at Stratford in November 2013</w:t>
      </w:r>
      <w:r w:rsidR="0065119A">
        <w:rPr>
          <w:sz w:val="24"/>
        </w:rPr>
        <w:t>.</w:t>
      </w:r>
    </w:p>
    <w:p w:rsidR="00273086" w:rsidRDefault="00273086" w:rsidP="00273086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Daily output: Stratford upon Avon Hospital </w:t>
      </w:r>
      <w:r w:rsidR="00E86CA1">
        <w:rPr>
          <w:sz w:val="24"/>
          <w:u w:val="single"/>
        </w:rPr>
        <w:t>January 2013</w:t>
      </w:r>
      <w:r w:rsidRPr="00551BE4">
        <w:rPr>
          <w:sz w:val="24"/>
          <w:u w:val="single"/>
        </w:rPr>
        <w:t xml:space="preserve"> </w:t>
      </w:r>
      <w:r w:rsidR="00FA1420">
        <w:rPr>
          <w:sz w:val="24"/>
          <w:u w:val="single"/>
        </w:rPr>
        <w:t>(green</w:t>
      </w:r>
      <w:r>
        <w:rPr>
          <w:sz w:val="24"/>
          <w:u w:val="single"/>
        </w:rPr>
        <w:t xml:space="preserve">) </w:t>
      </w:r>
      <w:r w:rsidRPr="00551BE4">
        <w:rPr>
          <w:sz w:val="24"/>
          <w:u w:val="single"/>
        </w:rPr>
        <w:t xml:space="preserve">&amp; </w:t>
      </w:r>
      <w:r w:rsidR="00E86CA1">
        <w:rPr>
          <w:sz w:val="24"/>
          <w:u w:val="single"/>
        </w:rPr>
        <w:t>January</w:t>
      </w:r>
      <w:r w:rsidR="00825FA8">
        <w:rPr>
          <w:sz w:val="24"/>
          <w:u w:val="single"/>
        </w:rPr>
        <w:t xml:space="preserve"> </w:t>
      </w:r>
      <w:r w:rsidR="00E86CA1">
        <w:rPr>
          <w:sz w:val="24"/>
          <w:u w:val="single"/>
        </w:rPr>
        <w:t>2014</w:t>
      </w:r>
      <w:r>
        <w:rPr>
          <w:sz w:val="24"/>
          <w:u w:val="single"/>
        </w:rPr>
        <w:t xml:space="preserve"> (blue)</w:t>
      </w:r>
    </w:p>
    <w:p w:rsidR="00A20501" w:rsidRPr="00FA73B5" w:rsidRDefault="00A20501" w:rsidP="00A20501">
      <w:pPr>
        <w:rPr>
          <w:sz w:val="16"/>
        </w:rPr>
      </w:pPr>
    </w:p>
    <w:p w:rsidR="00A20501" w:rsidRDefault="00E86CA1" w:rsidP="00355A97">
      <w:pPr>
        <w:jc w:val="center"/>
      </w:pPr>
      <w:r>
        <w:rPr>
          <w:noProof/>
          <w:lang w:eastAsia="en-GB"/>
        </w:rPr>
        <w:drawing>
          <wp:inline distT="0" distB="0" distL="0" distR="0" wp14:anchorId="1E2927A5" wp14:editId="33DD9A6B">
            <wp:extent cx="2851200" cy="1710000"/>
            <wp:effectExtent l="0" t="0" r="25400" b="24130"/>
            <wp:docPr id="7" name="Char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69B4" w:rsidRPr="006A69B4" w:rsidRDefault="006A69B4" w:rsidP="006A69B4">
      <w:pPr>
        <w:rPr>
          <w:b/>
          <w:sz w:val="16"/>
        </w:rPr>
      </w:pPr>
    </w:p>
    <w:p w:rsidR="006A69B4" w:rsidRPr="009D2395" w:rsidRDefault="006A69B4" w:rsidP="006A69B4">
      <w:pPr>
        <w:rPr>
          <w:b/>
          <w:sz w:val="28"/>
        </w:rPr>
      </w:pPr>
      <w:r>
        <w:rPr>
          <w:b/>
          <w:sz w:val="28"/>
        </w:rPr>
        <w:t>Stratford</w:t>
      </w:r>
      <w:r w:rsidRPr="009D2395">
        <w:rPr>
          <w:b/>
          <w:sz w:val="28"/>
        </w:rPr>
        <w:t xml:space="preserve"> Hospital –</w:t>
      </w:r>
      <w:r w:rsidR="00050381">
        <w:rPr>
          <w:b/>
          <w:sz w:val="28"/>
        </w:rPr>
        <w:t xml:space="preserve"> generation </w:t>
      </w:r>
      <w:r w:rsidR="0006418E">
        <w:rPr>
          <w:b/>
          <w:sz w:val="28"/>
        </w:rPr>
        <w:t>compared with Warwick</w:t>
      </w:r>
    </w:p>
    <w:p w:rsidR="00A716D2" w:rsidRPr="00FA73B5" w:rsidRDefault="001C5EFF" w:rsidP="006A69B4">
      <w:pPr>
        <w:rPr>
          <w:sz w:val="16"/>
        </w:rPr>
      </w:pPr>
      <w:r>
        <w:rPr>
          <w:sz w:val="24"/>
        </w:rPr>
        <w:t xml:space="preserve">Overall, </w:t>
      </w:r>
      <w:r w:rsidR="00355A97">
        <w:rPr>
          <w:sz w:val="24"/>
        </w:rPr>
        <w:t xml:space="preserve">the array at Stratford has produced </w:t>
      </w:r>
      <w:r w:rsidR="0065119A">
        <w:rPr>
          <w:sz w:val="24"/>
        </w:rPr>
        <w:t xml:space="preserve">in 2013 </w:t>
      </w:r>
      <w:r w:rsidR="00355A97">
        <w:rPr>
          <w:sz w:val="24"/>
        </w:rPr>
        <w:t>nearly 3 per cent more electricity per kW installed than the array at Warwick.</w:t>
      </w:r>
      <w:r w:rsidR="0006418E">
        <w:rPr>
          <w:sz w:val="24"/>
        </w:rPr>
        <w:t xml:space="preserve"> Relative performance in January 2014 was higher, wi</w:t>
      </w:r>
      <w:r w:rsidR="00042608">
        <w:rPr>
          <w:sz w:val="24"/>
        </w:rPr>
        <w:t>th Stratford producing nearly 12</w:t>
      </w:r>
      <w:r w:rsidR="0006418E">
        <w:rPr>
          <w:sz w:val="24"/>
        </w:rPr>
        <w:t xml:space="preserve"> per cent more electricity per kilowatt installed.</w:t>
      </w:r>
    </w:p>
    <w:p w:rsidR="00825FA8" w:rsidRPr="00825FA8" w:rsidRDefault="00825FA8">
      <w:pPr>
        <w:rPr>
          <w:b/>
          <w:sz w:val="28"/>
        </w:rPr>
      </w:pPr>
      <w:r w:rsidRPr="00825FA8">
        <w:rPr>
          <w:b/>
          <w:sz w:val="28"/>
        </w:rPr>
        <w:t>More information</w:t>
      </w:r>
    </w:p>
    <w:p w:rsidR="00825FA8" w:rsidRPr="00355A97" w:rsidRDefault="003453FA" w:rsidP="003453FA">
      <w:pPr>
        <w:rPr>
          <w:b/>
          <w:sz w:val="28"/>
        </w:rPr>
      </w:pPr>
      <w:r>
        <w:rPr>
          <w:sz w:val="24"/>
        </w:rPr>
        <w:t>For more infor</w:t>
      </w:r>
      <w:r w:rsidR="001C5EFF">
        <w:rPr>
          <w:sz w:val="24"/>
        </w:rPr>
        <w:t xml:space="preserve">mation about </w:t>
      </w:r>
      <w:r>
        <w:rPr>
          <w:sz w:val="24"/>
        </w:rPr>
        <w:t xml:space="preserve">the solar PV arrays at Warwick and Stratford upon Avon Hospitals, and for more information about Community Energy Warwickshire in general, e-mail </w:t>
      </w:r>
      <w:hyperlink r:id="rId9" w:history="1">
        <w:r w:rsidRPr="00C97187">
          <w:rPr>
            <w:rStyle w:val="Hyperlink"/>
            <w:sz w:val="24"/>
          </w:rPr>
          <w:t>info@cew.coop</w:t>
        </w:r>
      </w:hyperlink>
      <w:r>
        <w:rPr>
          <w:sz w:val="24"/>
        </w:rPr>
        <w:t xml:space="preserve">. </w:t>
      </w:r>
      <w:bookmarkStart w:id="0" w:name="_GoBack"/>
      <w:bookmarkEnd w:id="0"/>
    </w:p>
    <w:sectPr w:rsidR="00825FA8" w:rsidRPr="00355A97" w:rsidSect="00A2050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01"/>
    <w:rsid w:val="00042608"/>
    <w:rsid w:val="00050381"/>
    <w:rsid w:val="00053CD7"/>
    <w:rsid w:val="0006418E"/>
    <w:rsid w:val="000D081D"/>
    <w:rsid w:val="001166C0"/>
    <w:rsid w:val="00135017"/>
    <w:rsid w:val="00187929"/>
    <w:rsid w:val="001B4327"/>
    <w:rsid w:val="001C5EFF"/>
    <w:rsid w:val="001F7E74"/>
    <w:rsid w:val="00211860"/>
    <w:rsid w:val="00253858"/>
    <w:rsid w:val="002623C9"/>
    <w:rsid w:val="00273086"/>
    <w:rsid w:val="002D5CDB"/>
    <w:rsid w:val="002E2F99"/>
    <w:rsid w:val="002F6364"/>
    <w:rsid w:val="00304EA7"/>
    <w:rsid w:val="0032024C"/>
    <w:rsid w:val="003428EF"/>
    <w:rsid w:val="003453FA"/>
    <w:rsid w:val="00355A97"/>
    <w:rsid w:val="003C0476"/>
    <w:rsid w:val="003C315E"/>
    <w:rsid w:val="003C56B4"/>
    <w:rsid w:val="003F4405"/>
    <w:rsid w:val="004B6388"/>
    <w:rsid w:val="004D6F85"/>
    <w:rsid w:val="005471A3"/>
    <w:rsid w:val="00577CC0"/>
    <w:rsid w:val="00605678"/>
    <w:rsid w:val="0065119A"/>
    <w:rsid w:val="00694D84"/>
    <w:rsid w:val="006A69B4"/>
    <w:rsid w:val="006B1BAF"/>
    <w:rsid w:val="00825FA8"/>
    <w:rsid w:val="008268E5"/>
    <w:rsid w:val="00846E52"/>
    <w:rsid w:val="00851011"/>
    <w:rsid w:val="00860E32"/>
    <w:rsid w:val="008C132F"/>
    <w:rsid w:val="008E3BAF"/>
    <w:rsid w:val="0091690B"/>
    <w:rsid w:val="00931068"/>
    <w:rsid w:val="009319FD"/>
    <w:rsid w:val="009539E7"/>
    <w:rsid w:val="009D1133"/>
    <w:rsid w:val="009E5669"/>
    <w:rsid w:val="00A20501"/>
    <w:rsid w:val="00A70BCE"/>
    <w:rsid w:val="00A716D2"/>
    <w:rsid w:val="00A7246F"/>
    <w:rsid w:val="00A74B34"/>
    <w:rsid w:val="00A90132"/>
    <w:rsid w:val="00B12432"/>
    <w:rsid w:val="00B12ED8"/>
    <w:rsid w:val="00B47013"/>
    <w:rsid w:val="00B5161D"/>
    <w:rsid w:val="00C0269B"/>
    <w:rsid w:val="00C335D6"/>
    <w:rsid w:val="00C33CB2"/>
    <w:rsid w:val="00DD624B"/>
    <w:rsid w:val="00DD7E0E"/>
    <w:rsid w:val="00E22EE7"/>
    <w:rsid w:val="00E86CA1"/>
    <w:rsid w:val="00E86EE0"/>
    <w:rsid w:val="00E968E7"/>
    <w:rsid w:val="00EA0519"/>
    <w:rsid w:val="00EB1892"/>
    <w:rsid w:val="00F649A7"/>
    <w:rsid w:val="00FA1420"/>
    <w:rsid w:val="00FA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w.coo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warwick\Warwick%20PV%20outputs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warwick\Warwick%20PV%20outputs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stratford\Stratford%20PV%20outputs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41338582677165"/>
          <c:y val="0.17165536599591719"/>
          <c:w val="0.64968328958880139"/>
          <c:h val="0.54771507728200641"/>
        </c:manualLayout>
      </c:layout>
      <c:lineChart>
        <c:grouping val="standard"/>
        <c:varyColors val="0"/>
        <c:ser>
          <c:idx val="0"/>
          <c:order val="0"/>
          <c:tx>
            <c:strRef>
              <c:f>January!$C$1</c:f>
              <c:strCache>
                <c:ptCount val="1"/>
                <c:pt idx="0">
                  <c:v>2013</c:v>
                </c:pt>
              </c:strCache>
            </c:strRef>
          </c:tx>
          <c:marker>
            <c:symbol val="none"/>
          </c:marker>
          <c:cat>
            <c:numRef>
              <c:f>January!$A$2:$A$32</c:f>
              <c:numCache>
                <c:formatCode>m/d/yyyy</c:formatCode>
                <c:ptCount val="31"/>
                <c:pt idx="0">
                  <c:v>41640</c:v>
                </c:pt>
                <c:pt idx="1">
                  <c:v>41641</c:v>
                </c:pt>
                <c:pt idx="2">
                  <c:v>41642</c:v>
                </c:pt>
                <c:pt idx="3">
                  <c:v>41643</c:v>
                </c:pt>
                <c:pt idx="4">
                  <c:v>41644</c:v>
                </c:pt>
                <c:pt idx="5">
                  <c:v>41645</c:v>
                </c:pt>
                <c:pt idx="6">
                  <c:v>41646</c:v>
                </c:pt>
                <c:pt idx="7">
                  <c:v>41647</c:v>
                </c:pt>
                <c:pt idx="8">
                  <c:v>41648</c:v>
                </c:pt>
                <c:pt idx="9">
                  <c:v>41649</c:v>
                </c:pt>
                <c:pt idx="10">
                  <c:v>41650</c:v>
                </c:pt>
                <c:pt idx="11">
                  <c:v>41651</c:v>
                </c:pt>
                <c:pt idx="12">
                  <c:v>41652</c:v>
                </c:pt>
                <c:pt idx="13">
                  <c:v>41653</c:v>
                </c:pt>
                <c:pt idx="14">
                  <c:v>41654</c:v>
                </c:pt>
                <c:pt idx="15">
                  <c:v>41655</c:v>
                </c:pt>
                <c:pt idx="16">
                  <c:v>41656</c:v>
                </c:pt>
                <c:pt idx="17">
                  <c:v>41657</c:v>
                </c:pt>
                <c:pt idx="18">
                  <c:v>41658</c:v>
                </c:pt>
                <c:pt idx="19">
                  <c:v>41659</c:v>
                </c:pt>
                <c:pt idx="20">
                  <c:v>41660</c:v>
                </c:pt>
                <c:pt idx="21">
                  <c:v>41661</c:v>
                </c:pt>
                <c:pt idx="22">
                  <c:v>41662</c:v>
                </c:pt>
                <c:pt idx="23">
                  <c:v>41663</c:v>
                </c:pt>
                <c:pt idx="24">
                  <c:v>41664</c:v>
                </c:pt>
                <c:pt idx="25">
                  <c:v>41665</c:v>
                </c:pt>
                <c:pt idx="26">
                  <c:v>41666</c:v>
                </c:pt>
                <c:pt idx="27">
                  <c:v>41667</c:v>
                </c:pt>
                <c:pt idx="28">
                  <c:v>41668</c:v>
                </c:pt>
                <c:pt idx="29">
                  <c:v>41669</c:v>
                </c:pt>
                <c:pt idx="30">
                  <c:v>41670</c:v>
                </c:pt>
              </c:numCache>
            </c:numRef>
          </c:cat>
          <c:val>
            <c:numRef>
              <c:f>January!$C$2:$C$32</c:f>
              <c:numCache>
                <c:formatCode>General</c:formatCode>
                <c:ptCount val="31"/>
                <c:pt idx="0">
                  <c:v>85.83</c:v>
                </c:pt>
                <c:pt idx="1">
                  <c:v>9.34</c:v>
                </c:pt>
                <c:pt idx="2">
                  <c:v>51.36</c:v>
                </c:pt>
                <c:pt idx="3">
                  <c:v>31.8</c:v>
                </c:pt>
                <c:pt idx="4">
                  <c:v>44.67</c:v>
                </c:pt>
                <c:pt idx="5">
                  <c:v>13.59</c:v>
                </c:pt>
                <c:pt idx="6">
                  <c:v>17.29</c:v>
                </c:pt>
                <c:pt idx="7">
                  <c:v>20.350000000000001</c:v>
                </c:pt>
                <c:pt idx="8">
                  <c:v>92.06</c:v>
                </c:pt>
                <c:pt idx="9">
                  <c:v>14.65</c:v>
                </c:pt>
                <c:pt idx="10">
                  <c:v>26.02</c:v>
                </c:pt>
                <c:pt idx="11">
                  <c:v>18.47</c:v>
                </c:pt>
                <c:pt idx="12">
                  <c:v>77.81</c:v>
                </c:pt>
                <c:pt idx="13">
                  <c:v>11.01</c:v>
                </c:pt>
                <c:pt idx="14">
                  <c:v>100.16</c:v>
                </c:pt>
                <c:pt idx="15">
                  <c:v>21.44</c:v>
                </c:pt>
                <c:pt idx="16">
                  <c:v>17.149999999999999</c:v>
                </c:pt>
                <c:pt idx="17">
                  <c:v>1.75</c:v>
                </c:pt>
                <c:pt idx="18">
                  <c:v>4.46</c:v>
                </c:pt>
                <c:pt idx="19">
                  <c:v>2.36</c:v>
                </c:pt>
                <c:pt idx="20">
                  <c:v>0</c:v>
                </c:pt>
                <c:pt idx="21">
                  <c:v>0.18</c:v>
                </c:pt>
                <c:pt idx="22">
                  <c:v>0.5</c:v>
                </c:pt>
                <c:pt idx="23">
                  <c:v>2.16</c:v>
                </c:pt>
                <c:pt idx="24">
                  <c:v>9.11</c:v>
                </c:pt>
                <c:pt idx="25">
                  <c:v>80.72</c:v>
                </c:pt>
                <c:pt idx="26">
                  <c:v>102.67</c:v>
                </c:pt>
                <c:pt idx="27">
                  <c:v>25.77</c:v>
                </c:pt>
                <c:pt idx="28">
                  <c:v>20.47</c:v>
                </c:pt>
                <c:pt idx="29">
                  <c:v>107.25</c:v>
                </c:pt>
                <c:pt idx="30">
                  <c:v>105.12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January!$B$1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val>
            <c:numRef>
              <c:f>January!$B$2:$B$32</c:f>
              <c:numCache>
                <c:formatCode>General</c:formatCode>
                <c:ptCount val="31"/>
                <c:pt idx="0">
                  <c:v>5.7279999999999998</c:v>
                </c:pt>
                <c:pt idx="1">
                  <c:v>86.501000000000005</c:v>
                </c:pt>
                <c:pt idx="2">
                  <c:v>55.19</c:v>
                </c:pt>
                <c:pt idx="3">
                  <c:v>8.5619999999999994</c:v>
                </c:pt>
                <c:pt idx="4">
                  <c:v>19.25</c:v>
                </c:pt>
                <c:pt idx="5">
                  <c:v>48.600999999999999</c:v>
                </c:pt>
                <c:pt idx="6">
                  <c:v>66.546000000000006</c:v>
                </c:pt>
                <c:pt idx="7">
                  <c:v>27.623000000000001</c:v>
                </c:pt>
                <c:pt idx="8">
                  <c:v>73.569999999999993</c:v>
                </c:pt>
                <c:pt idx="9">
                  <c:v>50.073</c:v>
                </c:pt>
                <c:pt idx="10">
                  <c:v>106.384</c:v>
                </c:pt>
                <c:pt idx="11">
                  <c:v>25.213999999999999</c:v>
                </c:pt>
                <c:pt idx="12">
                  <c:v>95.209000000000003</c:v>
                </c:pt>
                <c:pt idx="13">
                  <c:v>93.593000000000004</c:v>
                </c:pt>
                <c:pt idx="14">
                  <c:v>30.013999999999999</c:v>
                </c:pt>
                <c:pt idx="15">
                  <c:v>85.093000000000004</c:v>
                </c:pt>
                <c:pt idx="16">
                  <c:v>27.34</c:v>
                </c:pt>
                <c:pt idx="17">
                  <c:v>34.311</c:v>
                </c:pt>
                <c:pt idx="18">
                  <c:v>112.571</c:v>
                </c:pt>
                <c:pt idx="19">
                  <c:v>104.751</c:v>
                </c:pt>
                <c:pt idx="20">
                  <c:v>65.741</c:v>
                </c:pt>
                <c:pt idx="21">
                  <c:v>56.506</c:v>
                </c:pt>
                <c:pt idx="22">
                  <c:v>77.881</c:v>
                </c:pt>
                <c:pt idx="23">
                  <c:v>15.833</c:v>
                </c:pt>
                <c:pt idx="24">
                  <c:v>56.594999999999999</c:v>
                </c:pt>
                <c:pt idx="25">
                  <c:v>20.22</c:v>
                </c:pt>
                <c:pt idx="26">
                  <c:v>55.576000000000001</c:v>
                </c:pt>
                <c:pt idx="27">
                  <c:v>25.335000000000001</c:v>
                </c:pt>
                <c:pt idx="28">
                  <c:v>14.617000000000001</c:v>
                </c:pt>
                <c:pt idx="29">
                  <c:v>6.4359999999999999</c:v>
                </c:pt>
                <c:pt idx="30">
                  <c:v>9.0519999999999996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69824"/>
        <c:axId val="55871360"/>
      </c:lineChart>
      <c:dateAx>
        <c:axId val="5586982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55871360"/>
        <c:crosses val="autoZero"/>
        <c:auto val="1"/>
        <c:lblOffset val="100"/>
        <c:baseTimeUnit val="days"/>
        <c:majorUnit val="7"/>
        <c:majorTimeUnit val="days"/>
      </c:dateAx>
      <c:valAx>
        <c:axId val="55871360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869824"/>
        <c:crosses val="autoZero"/>
        <c:crossBetween val="between"/>
        <c:majorUnit val="5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monthly!$C$27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monthly!$D$27:$O$27</c:f>
              <c:numCache>
                <c:formatCode>_(* #,##0.00_);_(* \(#,##0.00\);_(* "-"??_);_(@_)</c:formatCode>
                <c:ptCount val="12"/>
                <c:pt idx="1">
                  <c:v>81.022352941176464</c:v>
                </c:pt>
                <c:pt idx="2">
                  <c:v>147.03290322580645</c:v>
                </c:pt>
                <c:pt idx="3">
                  <c:v>166.035</c:v>
                </c:pt>
                <c:pt idx="4">
                  <c:v>202.54935483870963</c:v>
                </c:pt>
                <c:pt idx="5">
                  <c:v>173.14166666666668</c:v>
                </c:pt>
                <c:pt idx="6">
                  <c:v>201.59870967741941</c:v>
                </c:pt>
                <c:pt idx="7">
                  <c:v>174.96903225806457</c:v>
                </c:pt>
                <c:pt idx="8">
                  <c:v>165.9946666666666</c:v>
                </c:pt>
                <c:pt idx="9">
                  <c:v>93.547741935483884</c:v>
                </c:pt>
                <c:pt idx="10">
                  <c:v>56.42</c:v>
                </c:pt>
                <c:pt idx="11">
                  <c:v>38.799999999999997</c:v>
                </c:pt>
              </c:numCache>
            </c:numRef>
          </c:val>
        </c:ser>
        <c:ser>
          <c:idx val="1"/>
          <c:order val="1"/>
          <c:tx>
            <c:strRef>
              <c:f>monthly!$C$28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monthly!$D$28:$O$28</c:f>
              <c:numCache>
                <c:formatCode>General</c:formatCode>
                <c:ptCount val="12"/>
                <c:pt idx="0" formatCode="0.00">
                  <c:v>35.984516129032258</c:v>
                </c:pt>
                <c:pt idx="1">
                  <c:v>67.52</c:v>
                </c:pt>
                <c:pt idx="2">
                  <c:v>99.26</c:v>
                </c:pt>
                <c:pt idx="3" formatCode="_(* #,##0.00_);_(* \(#,##0.00\);_(* &quot;-&quot;??_);_(@_)">
                  <c:v>181.62870000000001</c:v>
                </c:pt>
                <c:pt idx="4">
                  <c:v>208.89</c:v>
                </c:pt>
                <c:pt idx="5" formatCode="_(* #,##0.00_);_(* \(#,##0.00\);_(* &quot;-&quot;??_);_(@_)">
                  <c:v>219.07026666666664</c:v>
                </c:pt>
                <c:pt idx="6" formatCode="_(* #,##0.00_);_(* \(#,##0.00\);_(* &quot;-&quot;??_);_(@_)">
                  <c:v>252.02216129032269</c:v>
                </c:pt>
                <c:pt idx="7" formatCode="_(* #,##0.00_);_(* \(#,##0.00\);_(* &quot;-&quot;??_);_(@_)">
                  <c:v>192.53006451612904</c:v>
                </c:pt>
                <c:pt idx="8" formatCode="_(* #,##0.00_);_(* \(#,##0.00\);_(* &quot;-&quot;??_);_(@_)">
                  <c:v>128.72176666666664</c:v>
                </c:pt>
                <c:pt idx="9" formatCode="_(* #,##0.00_);_(* \(#,##0.00\);_(* &quot;-&quot;??_);_(@_)">
                  <c:v>81.500258064516117</c:v>
                </c:pt>
                <c:pt idx="10" formatCode="_(* #,##0.00_);_(* \(#,##0.00\);_(* &quot;-&quot;??_);_(@_)">
                  <c:v>57.625033333333342</c:v>
                </c:pt>
                <c:pt idx="11" formatCode="_(* #,##0.00_);_(* \(#,##0.00\);_(* &quot;-&quot;??_);_(@_)">
                  <c:v>41.97354838709677</c:v>
                </c:pt>
              </c:numCache>
            </c:numRef>
          </c:val>
        </c:ser>
        <c:ser>
          <c:idx val="2"/>
          <c:order val="2"/>
          <c:tx>
            <c:strRef>
              <c:f>monthly!$C$29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</c:spPr>
          <c:invertIfNegative val="0"/>
          <c:val>
            <c:numRef>
              <c:f>monthly!$D$29:$O$29</c:f>
              <c:numCache>
                <c:formatCode>General</c:formatCode>
                <c:ptCount val="12"/>
                <c:pt idx="0" formatCode="0.00">
                  <c:v>50.319870967741942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035968"/>
        <c:axId val="56041856"/>
      </c:barChart>
      <c:catAx>
        <c:axId val="5603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56041856"/>
        <c:crosses val="autoZero"/>
        <c:auto val="1"/>
        <c:lblAlgn val="ctr"/>
        <c:lblOffset val="100"/>
        <c:noMultiLvlLbl val="0"/>
      </c:catAx>
      <c:valAx>
        <c:axId val="56041856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56035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January!$B$1</c:f>
              <c:strCache>
                <c:ptCount val="1"/>
                <c:pt idx="0">
                  <c:v>2014</c:v>
                </c:pt>
              </c:strCache>
            </c:strRef>
          </c:tx>
          <c:marker>
            <c:symbol val="none"/>
          </c:marker>
          <c:cat>
            <c:numRef>
              <c:f>January!$A$2:$A$32</c:f>
              <c:numCache>
                <c:formatCode>m/d/yyyy</c:formatCode>
                <c:ptCount val="31"/>
                <c:pt idx="0">
                  <c:v>41640</c:v>
                </c:pt>
                <c:pt idx="1">
                  <c:v>41641</c:v>
                </c:pt>
                <c:pt idx="2">
                  <c:v>41642</c:v>
                </c:pt>
                <c:pt idx="3">
                  <c:v>41643</c:v>
                </c:pt>
                <c:pt idx="4">
                  <c:v>41644</c:v>
                </c:pt>
                <c:pt idx="5">
                  <c:v>41645</c:v>
                </c:pt>
                <c:pt idx="6">
                  <c:v>41646</c:v>
                </c:pt>
                <c:pt idx="7">
                  <c:v>41647</c:v>
                </c:pt>
                <c:pt idx="8">
                  <c:v>41648</c:v>
                </c:pt>
                <c:pt idx="9">
                  <c:v>41649</c:v>
                </c:pt>
                <c:pt idx="10">
                  <c:v>41650</c:v>
                </c:pt>
                <c:pt idx="11">
                  <c:v>41651</c:v>
                </c:pt>
                <c:pt idx="12">
                  <c:v>41652</c:v>
                </c:pt>
                <c:pt idx="13">
                  <c:v>41653</c:v>
                </c:pt>
                <c:pt idx="14">
                  <c:v>41654</c:v>
                </c:pt>
                <c:pt idx="15">
                  <c:v>41655</c:v>
                </c:pt>
                <c:pt idx="16">
                  <c:v>41656</c:v>
                </c:pt>
                <c:pt idx="17">
                  <c:v>41657</c:v>
                </c:pt>
                <c:pt idx="18">
                  <c:v>41658</c:v>
                </c:pt>
                <c:pt idx="19">
                  <c:v>41659</c:v>
                </c:pt>
                <c:pt idx="20">
                  <c:v>41660</c:v>
                </c:pt>
                <c:pt idx="21">
                  <c:v>41661</c:v>
                </c:pt>
                <c:pt idx="22">
                  <c:v>41662</c:v>
                </c:pt>
                <c:pt idx="23">
                  <c:v>41663</c:v>
                </c:pt>
                <c:pt idx="24">
                  <c:v>41664</c:v>
                </c:pt>
                <c:pt idx="25">
                  <c:v>41665</c:v>
                </c:pt>
                <c:pt idx="26">
                  <c:v>41666</c:v>
                </c:pt>
                <c:pt idx="27">
                  <c:v>41667</c:v>
                </c:pt>
                <c:pt idx="28">
                  <c:v>41668</c:v>
                </c:pt>
                <c:pt idx="29">
                  <c:v>41669</c:v>
                </c:pt>
                <c:pt idx="30">
                  <c:v>41670</c:v>
                </c:pt>
              </c:numCache>
            </c:numRef>
          </c:cat>
          <c:val>
            <c:numRef>
              <c:f>January!$B$2:$B$32</c:f>
              <c:numCache>
                <c:formatCode>General</c:formatCode>
                <c:ptCount val="31"/>
                <c:pt idx="0">
                  <c:v>1.3920999999999999</c:v>
                </c:pt>
                <c:pt idx="1">
                  <c:v>18.6343</c:v>
                </c:pt>
                <c:pt idx="2">
                  <c:v>12.356299999999999</c:v>
                </c:pt>
                <c:pt idx="3">
                  <c:v>1.66</c:v>
                </c:pt>
                <c:pt idx="4">
                  <c:v>2.9283000000000001</c:v>
                </c:pt>
                <c:pt idx="5">
                  <c:v>14.030900000000001</c:v>
                </c:pt>
                <c:pt idx="6">
                  <c:v>17.4438</c:v>
                </c:pt>
                <c:pt idx="7">
                  <c:v>5.0110000000000001</c:v>
                </c:pt>
                <c:pt idx="8">
                  <c:v>17.2258</c:v>
                </c:pt>
                <c:pt idx="9">
                  <c:v>8.7780000000000005</c:v>
                </c:pt>
                <c:pt idx="10">
                  <c:v>23.081399999999999</c:v>
                </c:pt>
                <c:pt idx="11">
                  <c:v>4.3887999999999998</c:v>
                </c:pt>
                <c:pt idx="12">
                  <c:v>19.360700000000001</c:v>
                </c:pt>
                <c:pt idx="13">
                  <c:v>18.957100000000001</c:v>
                </c:pt>
                <c:pt idx="14">
                  <c:v>8.3917999999999999</c:v>
                </c:pt>
                <c:pt idx="15">
                  <c:v>18.581</c:v>
                </c:pt>
                <c:pt idx="16">
                  <c:v>9.3339999999999996</c:v>
                </c:pt>
                <c:pt idx="17">
                  <c:v>8.5035000000000007</c:v>
                </c:pt>
                <c:pt idx="18">
                  <c:v>26.237200000000001</c:v>
                </c:pt>
                <c:pt idx="19">
                  <c:v>20.977699999999999</c:v>
                </c:pt>
                <c:pt idx="20">
                  <c:v>13.555300000000001</c:v>
                </c:pt>
                <c:pt idx="21">
                  <c:v>11.2622</c:v>
                </c:pt>
                <c:pt idx="22">
                  <c:v>20.009899999999998</c:v>
                </c:pt>
                <c:pt idx="23">
                  <c:v>2.6703000000000001</c:v>
                </c:pt>
                <c:pt idx="24">
                  <c:v>11.587999999999999</c:v>
                </c:pt>
                <c:pt idx="25">
                  <c:v>5.5450999999999997</c:v>
                </c:pt>
                <c:pt idx="26">
                  <c:v>13.597899999999999</c:v>
                </c:pt>
                <c:pt idx="27">
                  <c:v>5.8773</c:v>
                </c:pt>
                <c:pt idx="28">
                  <c:v>3.9748999999999999</c:v>
                </c:pt>
                <c:pt idx="29">
                  <c:v>1.867</c:v>
                </c:pt>
                <c:pt idx="30">
                  <c:v>1.7914000000000001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January!$C$1</c:f>
              <c:strCache>
                <c:ptCount val="1"/>
                <c:pt idx="0">
                  <c:v>2013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January!$A$2:$A$32</c:f>
              <c:numCache>
                <c:formatCode>m/d/yyyy</c:formatCode>
                <c:ptCount val="31"/>
                <c:pt idx="0">
                  <c:v>41640</c:v>
                </c:pt>
                <c:pt idx="1">
                  <c:v>41641</c:v>
                </c:pt>
                <c:pt idx="2">
                  <c:v>41642</c:v>
                </c:pt>
                <c:pt idx="3">
                  <c:v>41643</c:v>
                </c:pt>
                <c:pt idx="4">
                  <c:v>41644</c:v>
                </c:pt>
                <c:pt idx="5">
                  <c:v>41645</c:v>
                </c:pt>
                <c:pt idx="6">
                  <c:v>41646</c:v>
                </c:pt>
                <c:pt idx="7">
                  <c:v>41647</c:v>
                </c:pt>
                <c:pt idx="8">
                  <c:v>41648</c:v>
                </c:pt>
                <c:pt idx="9">
                  <c:v>41649</c:v>
                </c:pt>
                <c:pt idx="10">
                  <c:v>41650</c:v>
                </c:pt>
                <c:pt idx="11">
                  <c:v>41651</c:v>
                </c:pt>
                <c:pt idx="12">
                  <c:v>41652</c:v>
                </c:pt>
                <c:pt idx="13">
                  <c:v>41653</c:v>
                </c:pt>
                <c:pt idx="14">
                  <c:v>41654</c:v>
                </c:pt>
                <c:pt idx="15">
                  <c:v>41655</c:v>
                </c:pt>
                <c:pt idx="16">
                  <c:v>41656</c:v>
                </c:pt>
                <c:pt idx="17">
                  <c:v>41657</c:v>
                </c:pt>
                <c:pt idx="18">
                  <c:v>41658</c:v>
                </c:pt>
                <c:pt idx="19">
                  <c:v>41659</c:v>
                </c:pt>
                <c:pt idx="20">
                  <c:v>41660</c:v>
                </c:pt>
                <c:pt idx="21">
                  <c:v>41661</c:v>
                </c:pt>
                <c:pt idx="22">
                  <c:v>41662</c:v>
                </c:pt>
                <c:pt idx="23">
                  <c:v>41663</c:v>
                </c:pt>
                <c:pt idx="24">
                  <c:v>41664</c:v>
                </c:pt>
                <c:pt idx="25">
                  <c:v>41665</c:v>
                </c:pt>
                <c:pt idx="26">
                  <c:v>41666</c:v>
                </c:pt>
                <c:pt idx="27">
                  <c:v>41667</c:v>
                </c:pt>
                <c:pt idx="28">
                  <c:v>41668</c:v>
                </c:pt>
                <c:pt idx="29">
                  <c:v>41669</c:v>
                </c:pt>
                <c:pt idx="30">
                  <c:v>41670</c:v>
                </c:pt>
              </c:numCache>
            </c:numRef>
          </c:cat>
          <c:val>
            <c:numRef>
              <c:f>January!$C$2:$C$32</c:f>
              <c:numCache>
                <c:formatCode>_(* #,##0.00_);_(* \(#,##0.00\);_(* "-"??_);_(@_)</c:formatCode>
                <c:ptCount val="31"/>
                <c:pt idx="0">
                  <c:v>17.7</c:v>
                </c:pt>
                <c:pt idx="1">
                  <c:v>1.87</c:v>
                </c:pt>
                <c:pt idx="2">
                  <c:v>13.77</c:v>
                </c:pt>
                <c:pt idx="3">
                  <c:v>4</c:v>
                </c:pt>
                <c:pt idx="4">
                  <c:v>10.31</c:v>
                </c:pt>
                <c:pt idx="5">
                  <c:v>3.68</c:v>
                </c:pt>
                <c:pt idx="6">
                  <c:v>3.84</c:v>
                </c:pt>
                <c:pt idx="7">
                  <c:v>2.79</c:v>
                </c:pt>
                <c:pt idx="8">
                  <c:v>16.989999999999998</c:v>
                </c:pt>
                <c:pt idx="9">
                  <c:v>2.92</c:v>
                </c:pt>
                <c:pt idx="10">
                  <c:v>12.74</c:v>
                </c:pt>
                <c:pt idx="11">
                  <c:v>3.67</c:v>
                </c:pt>
                <c:pt idx="12">
                  <c:v>18.96</c:v>
                </c:pt>
                <c:pt idx="13">
                  <c:v>6.1</c:v>
                </c:pt>
                <c:pt idx="14">
                  <c:v>25.26</c:v>
                </c:pt>
                <c:pt idx="15">
                  <c:v>4.3099999999999996</c:v>
                </c:pt>
                <c:pt idx="16">
                  <c:v>3.21</c:v>
                </c:pt>
                <c:pt idx="17">
                  <c:v>0.1</c:v>
                </c:pt>
                <c:pt idx="18">
                  <c:v>0.1</c:v>
                </c:pt>
                <c:pt idx="19">
                  <c:v>0.1</c:v>
                </c:pt>
                <c:pt idx="20">
                  <c:v>0.1</c:v>
                </c:pt>
                <c:pt idx="21">
                  <c:v>0.87</c:v>
                </c:pt>
                <c:pt idx="22">
                  <c:v>0.88</c:v>
                </c:pt>
                <c:pt idx="23">
                  <c:v>5.09</c:v>
                </c:pt>
                <c:pt idx="24">
                  <c:v>6.44</c:v>
                </c:pt>
                <c:pt idx="25">
                  <c:v>16.82</c:v>
                </c:pt>
                <c:pt idx="26">
                  <c:v>24.26</c:v>
                </c:pt>
                <c:pt idx="27">
                  <c:v>4.88</c:v>
                </c:pt>
                <c:pt idx="28">
                  <c:v>4.91</c:v>
                </c:pt>
                <c:pt idx="29">
                  <c:v>22.45</c:v>
                </c:pt>
                <c:pt idx="30">
                  <c:v>20.25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070912"/>
        <c:axId val="56072448"/>
      </c:lineChart>
      <c:dateAx>
        <c:axId val="5607091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56072448"/>
        <c:crosses val="autoZero"/>
        <c:auto val="1"/>
        <c:lblOffset val="100"/>
        <c:baseTimeUnit val="days"/>
      </c:dateAx>
      <c:valAx>
        <c:axId val="5607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070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at CEW</dc:creator>
  <cp:lastModifiedBy>Roger at CEW</cp:lastModifiedBy>
  <cp:revision>7</cp:revision>
  <cp:lastPrinted>2013-06-14T17:08:00Z</cp:lastPrinted>
  <dcterms:created xsi:type="dcterms:W3CDTF">2014-02-04T07:42:00Z</dcterms:created>
  <dcterms:modified xsi:type="dcterms:W3CDTF">2014-02-04T11:36:00Z</dcterms:modified>
</cp:coreProperties>
</file>