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20501" w:rsidTr="007826A6">
        <w:tc>
          <w:tcPr>
            <w:tcW w:w="4621" w:type="dxa"/>
            <w:vMerge w:val="restart"/>
          </w:tcPr>
          <w:p w:rsidR="00A20501" w:rsidRDefault="00A20501" w:rsidP="007826A6">
            <w:pPr>
              <w:jc w:val="center"/>
            </w:pPr>
            <w:r>
              <w:rPr>
                <w:noProof/>
                <w:lang w:eastAsia="en-GB"/>
              </w:rPr>
              <w:drawing>
                <wp:inline distT="0" distB="0" distL="0" distR="0" wp14:anchorId="6EDA010A" wp14:editId="3C66BFEA">
                  <wp:extent cx="2242800" cy="1569600"/>
                  <wp:effectExtent l="0" t="0" r="5715" b="0"/>
                  <wp:docPr id="1" name="Picture 1" descr="CEW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W logo col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2800" cy="1569600"/>
                          </a:xfrm>
                          <a:prstGeom prst="rect">
                            <a:avLst/>
                          </a:prstGeom>
                          <a:noFill/>
                          <a:ln>
                            <a:noFill/>
                          </a:ln>
                        </pic:spPr>
                      </pic:pic>
                    </a:graphicData>
                  </a:graphic>
                </wp:inline>
              </w:drawing>
            </w:r>
          </w:p>
        </w:tc>
        <w:tc>
          <w:tcPr>
            <w:tcW w:w="4621" w:type="dxa"/>
          </w:tcPr>
          <w:p w:rsidR="00A20501" w:rsidRPr="00B57CB0" w:rsidRDefault="00A20501" w:rsidP="007826A6">
            <w:pPr>
              <w:jc w:val="center"/>
              <w:rPr>
                <w:sz w:val="96"/>
              </w:rPr>
            </w:pPr>
            <w:r w:rsidRPr="00B57CB0">
              <w:rPr>
                <w:sz w:val="96"/>
              </w:rPr>
              <w:t>SOLAR PV</w:t>
            </w:r>
          </w:p>
          <w:p w:rsidR="00A20501" w:rsidRDefault="00A20501" w:rsidP="007826A6">
            <w:pPr>
              <w:jc w:val="center"/>
            </w:pPr>
            <w:r w:rsidRPr="00B57CB0">
              <w:rPr>
                <w:sz w:val="40"/>
              </w:rPr>
              <w:t>MONITORING REPORT</w:t>
            </w:r>
          </w:p>
        </w:tc>
      </w:tr>
      <w:tr w:rsidR="00A20501" w:rsidTr="007826A6">
        <w:tc>
          <w:tcPr>
            <w:tcW w:w="4621" w:type="dxa"/>
            <w:vMerge/>
          </w:tcPr>
          <w:p w:rsidR="00A20501" w:rsidRDefault="00A20501" w:rsidP="007826A6"/>
        </w:tc>
        <w:tc>
          <w:tcPr>
            <w:tcW w:w="4621" w:type="dxa"/>
            <w:vAlign w:val="bottom"/>
          </w:tcPr>
          <w:p w:rsidR="00A20501" w:rsidRDefault="003C56B4" w:rsidP="007826A6">
            <w:pPr>
              <w:jc w:val="center"/>
            </w:pPr>
            <w:r>
              <w:rPr>
                <w:sz w:val="36"/>
              </w:rPr>
              <w:t>August</w:t>
            </w:r>
            <w:r w:rsidR="00A20501" w:rsidRPr="00B57CB0">
              <w:rPr>
                <w:sz w:val="36"/>
              </w:rPr>
              <w:t xml:space="preserve"> 2013</w:t>
            </w:r>
          </w:p>
        </w:tc>
      </w:tr>
    </w:tbl>
    <w:p w:rsidR="001F7E74" w:rsidRDefault="001F7E74"/>
    <w:p w:rsidR="00A20501" w:rsidRDefault="00A20501">
      <w:pPr>
        <w:sectPr w:rsidR="00A20501">
          <w:pgSz w:w="11906" w:h="16838"/>
          <w:pgMar w:top="1440" w:right="1440" w:bottom="1440" w:left="1440" w:header="708" w:footer="708" w:gutter="0"/>
          <w:cols w:space="708"/>
          <w:docGrid w:linePitch="360"/>
        </w:sectPr>
      </w:pPr>
    </w:p>
    <w:p w:rsidR="00A20501" w:rsidRDefault="00A20501" w:rsidP="00A20501">
      <w:pPr>
        <w:rPr>
          <w:b/>
          <w:sz w:val="28"/>
        </w:rPr>
      </w:pPr>
    </w:p>
    <w:p w:rsidR="00A20501" w:rsidRPr="009D2395" w:rsidRDefault="00C0269B" w:rsidP="00A20501">
      <w:pPr>
        <w:rPr>
          <w:b/>
          <w:sz w:val="28"/>
        </w:rPr>
      </w:pPr>
      <w:r>
        <w:rPr>
          <w:b/>
          <w:sz w:val="28"/>
        </w:rPr>
        <w:t xml:space="preserve">100,000 kWh </w:t>
      </w:r>
      <w:proofErr w:type="gramStart"/>
      <w:r>
        <w:rPr>
          <w:b/>
          <w:sz w:val="28"/>
        </w:rPr>
        <w:t>milestone</w:t>
      </w:r>
      <w:proofErr w:type="gramEnd"/>
      <w:r>
        <w:rPr>
          <w:b/>
          <w:sz w:val="28"/>
        </w:rPr>
        <w:t xml:space="preserve"> passed in August</w:t>
      </w:r>
    </w:p>
    <w:p w:rsidR="00C335D6" w:rsidRPr="00C335D6" w:rsidRDefault="003C56B4" w:rsidP="00A20501">
      <w:pPr>
        <w:rPr>
          <w:sz w:val="24"/>
        </w:rPr>
        <w:sectPr w:rsidR="00C335D6" w:rsidRPr="00C335D6" w:rsidSect="00A20501">
          <w:type w:val="continuous"/>
          <w:pgSz w:w="11906" w:h="16838"/>
          <w:pgMar w:top="1440" w:right="1440" w:bottom="1440" w:left="1440" w:header="708" w:footer="708" w:gutter="0"/>
          <w:cols w:space="708"/>
          <w:docGrid w:linePitch="360"/>
        </w:sectPr>
      </w:pPr>
      <w:r>
        <w:rPr>
          <w:sz w:val="24"/>
        </w:rPr>
        <w:t>After July’s record-breaking total generation, the performance of the solar PV arrays at Stratford and Warwick hospitals returned to a more normal level in August. But the performance at both sites was better in August 2013 than it was a year ago</w:t>
      </w:r>
      <w:r w:rsidR="00C0269B">
        <w:rPr>
          <w:sz w:val="24"/>
        </w:rPr>
        <w:t xml:space="preserve"> – and a milestone was reached</w:t>
      </w:r>
      <w:r>
        <w:rPr>
          <w:sz w:val="24"/>
        </w:rPr>
        <w:t xml:space="preserve"> during the month, when total generation by the two arrays since installation passed 100,000 units.</w:t>
      </w:r>
    </w:p>
    <w:p w:rsidR="00A20501" w:rsidRPr="009D2395" w:rsidRDefault="00A20501" w:rsidP="00A20501">
      <w:pPr>
        <w:rPr>
          <w:b/>
          <w:sz w:val="28"/>
        </w:rPr>
      </w:pPr>
      <w:r w:rsidRPr="009D2395">
        <w:rPr>
          <w:b/>
          <w:sz w:val="28"/>
        </w:rPr>
        <w:lastRenderedPageBreak/>
        <w:t>W</w:t>
      </w:r>
      <w:r w:rsidR="009D1133">
        <w:rPr>
          <w:b/>
          <w:sz w:val="28"/>
        </w:rPr>
        <w:t xml:space="preserve">arwick Hospital – performance in </w:t>
      </w:r>
      <w:r w:rsidR="003C56B4">
        <w:rPr>
          <w:b/>
          <w:sz w:val="28"/>
        </w:rPr>
        <w:t>August</w:t>
      </w:r>
      <w:r w:rsidRPr="009D2395">
        <w:rPr>
          <w:b/>
          <w:sz w:val="28"/>
        </w:rPr>
        <w:t xml:space="preserve"> 2013</w:t>
      </w:r>
    </w:p>
    <w:p w:rsidR="00A20501" w:rsidRDefault="003C56B4" w:rsidP="00A20501">
      <w:pPr>
        <w:rPr>
          <w:sz w:val="24"/>
        </w:rPr>
      </w:pPr>
      <w:r>
        <w:rPr>
          <w:sz w:val="24"/>
        </w:rPr>
        <w:t>August</w:t>
      </w:r>
      <w:r w:rsidR="00E968E7">
        <w:rPr>
          <w:sz w:val="24"/>
        </w:rPr>
        <w:t xml:space="preserve"> continued the pattern since April, with</w:t>
      </w:r>
      <w:r w:rsidR="00304EA7">
        <w:rPr>
          <w:sz w:val="24"/>
        </w:rPr>
        <w:t xml:space="preserve"> more energy </w:t>
      </w:r>
      <w:r w:rsidR="00A20501">
        <w:rPr>
          <w:sz w:val="24"/>
        </w:rPr>
        <w:t xml:space="preserve">generated by the solar PV array at Warwick Hospital </w:t>
      </w:r>
      <w:r w:rsidR="00E968E7">
        <w:rPr>
          <w:sz w:val="24"/>
        </w:rPr>
        <w:t>in</w:t>
      </w:r>
      <w:r w:rsidR="00E22EE7">
        <w:rPr>
          <w:sz w:val="24"/>
        </w:rPr>
        <w:t xml:space="preserve"> 2013 </w:t>
      </w:r>
      <w:r w:rsidR="00A20501">
        <w:rPr>
          <w:sz w:val="24"/>
        </w:rPr>
        <w:t>than in the same m</w:t>
      </w:r>
      <w:r w:rsidR="00E22EE7">
        <w:rPr>
          <w:sz w:val="24"/>
        </w:rPr>
        <w:t>onth last year. A tota</w:t>
      </w:r>
      <w:r w:rsidR="00E968E7">
        <w:rPr>
          <w:sz w:val="24"/>
        </w:rPr>
        <w:t>l o</w:t>
      </w:r>
      <w:r>
        <w:rPr>
          <w:sz w:val="24"/>
        </w:rPr>
        <w:t>f 5,968</w:t>
      </w:r>
      <w:r w:rsidR="00E968E7">
        <w:rPr>
          <w:sz w:val="24"/>
        </w:rPr>
        <w:t xml:space="preserve"> units </w:t>
      </w:r>
      <w:r w:rsidR="00A20501">
        <w:rPr>
          <w:sz w:val="24"/>
        </w:rPr>
        <w:t xml:space="preserve">were generated during the </w:t>
      </w:r>
      <w:r>
        <w:rPr>
          <w:sz w:val="24"/>
        </w:rPr>
        <w:t>month – an average of 192</w:t>
      </w:r>
      <w:r w:rsidR="00A20501">
        <w:rPr>
          <w:sz w:val="24"/>
        </w:rPr>
        <w:t xml:space="preserve"> units a day. </w:t>
      </w:r>
      <w:r>
        <w:rPr>
          <w:sz w:val="24"/>
        </w:rPr>
        <w:t>This was considerably less than July’s average of 252 units a day – but still above the 175 units a day generated in August 2012.</w:t>
      </w:r>
      <w:r w:rsidR="00A90132">
        <w:rPr>
          <w:sz w:val="24"/>
        </w:rPr>
        <w:t xml:space="preserve"> Pea</w:t>
      </w:r>
      <w:r>
        <w:rPr>
          <w:sz w:val="24"/>
        </w:rPr>
        <w:t>k performance was on 1 August when 278.7</w:t>
      </w:r>
      <w:r w:rsidR="00A90132">
        <w:rPr>
          <w:sz w:val="24"/>
        </w:rPr>
        <w:t xml:space="preserve"> units were generated.</w:t>
      </w:r>
      <w:r w:rsidR="00FA1420">
        <w:rPr>
          <w:sz w:val="24"/>
        </w:rPr>
        <w:t xml:space="preserve"> </w:t>
      </w:r>
      <w:r w:rsidR="00A20501">
        <w:rPr>
          <w:sz w:val="24"/>
        </w:rPr>
        <w:t>Daily</w:t>
      </w:r>
      <w:r w:rsidR="00E22EE7">
        <w:rPr>
          <w:sz w:val="24"/>
        </w:rPr>
        <w:t xml:space="preserve"> output exceeded 200 units on</w:t>
      </w:r>
      <w:r>
        <w:rPr>
          <w:sz w:val="24"/>
        </w:rPr>
        <w:t xml:space="preserve"> 14 days during August</w:t>
      </w:r>
      <w:r w:rsidR="00C0269B">
        <w:rPr>
          <w:sz w:val="24"/>
        </w:rPr>
        <w:t>, but never passed 300.</w:t>
      </w:r>
      <w:r w:rsidR="00A20501">
        <w:rPr>
          <w:sz w:val="24"/>
        </w:rPr>
        <w:t xml:space="preserve"> The</w:t>
      </w:r>
      <w:r w:rsidR="00E22EE7">
        <w:rPr>
          <w:sz w:val="24"/>
        </w:rPr>
        <w:t xml:space="preserve"> lowest daily output was </w:t>
      </w:r>
      <w:r>
        <w:rPr>
          <w:sz w:val="24"/>
        </w:rPr>
        <w:t>99.0</w:t>
      </w:r>
      <w:r w:rsidR="00E968E7">
        <w:rPr>
          <w:sz w:val="24"/>
        </w:rPr>
        <w:t xml:space="preserve"> units </w:t>
      </w:r>
      <w:r w:rsidR="00E22EE7">
        <w:rPr>
          <w:sz w:val="24"/>
        </w:rPr>
        <w:t xml:space="preserve">on </w:t>
      </w:r>
      <w:r>
        <w:rPr>
          <w:sz w:val="24"/>
        </w:rPr>
        <w:t>4 August</w:t>
      </w:r>
      <w:r w:rsidR="00E968E7">
        <w:rPr>
          <w:sz w:val="24"/>
        </w:rPr>
        <w:t xml:space="preserve"> </w:t>
      </w:r>
      <w:r>
        <w:rPr>
          <w:sz w:val="24"/>
        </w:rPr>
        <w:t>–</w:t>
      </w:r>
      <w:r w:rsidR="00FA1420">
        <w:rPr>
          <w:sz w:val="24"/>
        </w:rPr>
        <w:t xml:space="preserve"> </w:t>
      </w:r>
      <w:r>
        <w:rPr>
          <w:sz w:val="24"/>
        </w:rPr>
        <w:t>one of</w:t>
      </w:r>
      <w:r w:rsidR="002623C9">
        <w:rPr>
          <w:sz w:val="24"/>
        </w:rPr>
        <w:t xml:space="preserve"> only </w:t>
      </w:r>
      <w:r>
        <w:rPr>
          <w:sz w:val="24"/>
        </w:rPr>
        <w:t xml:space="preserve">two </w:t>
      </w:r>
      <w:r w:rsidR="002623C9">
        <w:rPr>
          <w:sz w:val="24"/>
        </w:rPr>
        <w:t>day</w:t>
      </w:r>
      <w:r>
        <w:rPr>
          <w:sz w:val="24"/>
        </w:rPr>
        <w:t>s</w:t>
      </w:r>
      <w:r w:rsidR="002623C9">
        <w:rPr>
          <w:sz w:val="24"/>
        </w:rPr>
        <w:t xml:space="preserve"> in </w:t>
      </w:r>
      <w:r>
        <w:rPr>
          <w:sz w:val="24"/>
        </w:rPr>
        <w:t>August</w:t>
      </w:r>
      <w:r w:rsidR="00E968E7">
        <w:rPr>
          <w:sz w:val="24"/>
        </w:rPr>
        <w:t xml:space="preserve"> when </w:t>
      </w:r>
      <w:r w:rsidR="00A20501">
        <w:rPr>
          <w:sz w:val="24"/>
        </w:rPr>
        <w:t xml:space="preserve">daily output </w:t>
      </w:r>
      <w:r w:rsidR="00E968E7">
        <w:rPr>
          <w:sz w:val="24"/>
        </w:rPr>
        <w:t>fell below 100 units</w:t>
      </w:r>
      <w:r>
        <w:rPr>
          <w:sz w:val="24"/>
        </w:rPr>
        <w:t xml:space="preserve"> (the other was 17 August when output was 99.3 units)</w:t>
      </w:r>
      <w:r w:rsidR="00A20501">
        <w:rPr>
          <w:sz w:val="24"/>
        </w:rPr>
        <w:t>.</w:t>
      </w:r>
    </w:p>
    <w:p w:rsidR="003C56B4" w:rsidRDefault="003C56B4" w:rsidP="00E22EE7">
      <w:pPr>
        <w:jc w:val="center"/>
        <w:rPr>
          <w:sz w:val="24"/>
          <w:u w:val="single"/>
        </w:rPr>
      </w:pPr>
    </w:p>
    <w:p w:rsidR="00A20501" w:rsidRDefault="00A20501" w:rsidP="00E22EE7">
      <w:pPr>
        <w:jc w:val="center"/>
        <w:rPr>
          <w:sz w:val="24"/>
          <w:u w:val="single"/>
        </w:rPr>
      </w:pPr>
      <w:r w:rsidRPr="00551BE4">
        <w:rPr>
          <w:sz w:val="24"/>
          <w:u w:val="single"/>
        </w:rPr>
        <w:lastRenderedPageBreak/>
        <w:t>Daily output: Warw</w:t>
      </w:r>
      <w:r>
        <w:rPr>
          <w:sz w:val="24"/>
          <w:u w:val="single"/>
        </w:rPr>
        <w:t xml:space="preserve">ick Hospital </w:t>
      </w:r>
      <w:r w:rsidR="003C56B4">
        <w:rPr>
          <w:sz w:val="24"/>
          <w:u w:val="single"/>
        </w:rPr>
        <w:t>August</w:t>
      </w:r>
      <w:r w:rsidRPr="00551BE4">
        <w:rPr>
          <w:sz w:val="24"/>
          <w:u w:val="single"/>
        </w:rPr>
        <w:t xml:space="preserve"> 2012 </w:t>
      </w:r>
      <w:r w:rsidR="00FA1420">
        <w:rPr>
          <w:sz w:val="24"/>
          <w:u w:val="single"/>
        </w:rPr>
        <w:t>(green</w:t>
      </w:r>
      <w:r>
        <w:rPr>
          <w:sz w:val="24"/>
          <w:u w:val="single"/>
        </w:rPr>
        <w:t xml:space="preserve">) </w:t>
      </w:r>
      <w:r w:rsidRPr="00551BE4">
        <w:rPr>
          <w:sz w:val="24"/>
          <w:u w:val="single"/>
        </w:rPr>
        <w:t xml:space="preserve">&amp; </w:t>
      </w:r>
      <w:r w:rsidR="003C56B4">
        <w:rPr>
          <w:sz w:val="24"/>
          <w:u w:val="single"/>
        </w:rPr>
        <w:t>August</w:t>
      </w:r>
      <w:r w:rsidR="00C335D6">
        <w:rPr>
          <w:sz w:val="24"/>
          <w:u w:val="single"/>
        </w:rPr>
        <w:t xml:space="preserve"> </w:t>
      </w:r>
      <w:r w:rsidRPr="00551BE4">
        <w:rPr>
          <w:sz w:val="24"/>
          <w:u w:val="single"/>
        </w:rPr>
        <w:t>2013</w:t>
      </w:r>
      <w:r>
        <w:rPr>
          <w:sz w:val="24"/>
          <w:u w:val="single"/>
        </w:rPr>
        <w:t xml:space="preserve"> (blue)</w:t>
      </w:r>
    </w:p>
    <w:p w:rsidR="009D1133" w:rsidRPr="009D1133" w:rsidRDefault="009D1133" w:rsidP="00E22EE7">
      <w:pPr>
        <w:jc w:val="center"/>
        <w:rPr>
          <w:sz w:val="16"/>
          <w:u w:val="single"/>
        </w:rPr>
      </w:pPr>
    </w:p>
    <w:p w:rsidR="00A20501" w:rsidRDefault="003C56B4" w:rsidP="00A20501">
      <w:pPr>
        <w:jc w:val="center"/>
        <w:rPr>
          <w:sz w:val="24"/>
        </w:rPr>
      </w:pPr>
      <w:r>
        <w:rPr>
          <w:noProof/>
          <w:lang w:eastAsia="en-GB"/>
        </w:rPr>
        <w:drawing>
          <wp:inline distT="0" distB="0" distL="0" distR="0" wp14:anchorId="2DE5EF7E" wp14:editId="47A82BDD">
            <wp:extent cx="2934000" cy="1720800"/>
            <wp:effectExtent l="0" t="0" r="19050" b="13335"/>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A73B5" w:rsidRDefault="00E968E7" w:rsidP="006A69B4">
      <w:pPr>
        <w:spacing w:before="360"/>
        <w:rPr>
          <w:sz w:val="24"/>
        </w:rPr>
      </w:pPr>
      <w:r>
        <w:rPr>
          <w:sz w:val="24"/>
        </w:rPr>
        <w:t>Ge</w:t>
      </w:r>
      <w:r w:rsidR="00A74B34">
        <w:rPr>
          <w:sz w:val="24"/>
        </w:rPr>
        <w:t>neration during August 2013 was 10</w:t>
      </w:r>
      <w:r>
        <w:rPr>
          <w:sz w:val="24"/>
        </w:rPr>
        <w:t xml:space="preserve"> </w:t>
      </w:r>
      <w:r w:rsidR="002623C9">
        <w:rPr>
          <w:sz w:val="24"/>
        </w:rPr>
        <w:t>per cent higher</w:t>
      </w:r>
      <w:r w:rsidR="00A74B34">
        <w:rPr>
          <w:sz w:val="24"/>
        </w:rPr>
        <w:t xml:space="preserve"> than during August</w:t>
      </w:r>
      <w:r w:rsidR="002623C9">
        <w:rPr>
          <w:sz w:val="24"/>
        </w:rPr>
        <w:t xml:space="preserve"> 2012</w:t>
      </w:r>
      <w:r w:rsidR="00A74B34">
        <w:rPr>
          <w:sz w:val="24"/>
        </w:rPr>
        <w:t>. But</w:t>
      </w:r>
      <w:r w:rsidR="00304EA7">
        <w:rPr>
          <w:sz w:val="24"/>
        </w:rPr>
        <w:t xml:space="preserve"> </w:t>
      </w:r>
      <w:r w:rsidR="002623C9">
        <w:rPr>
          <w:sz w:val="24"/>
        </w:rPr>
        <w:t xml:space="preserve">average daily output </w:t>
      </w:r>
      <w:r w:rsidR="00A74B34">
        <w:rPr>
          <w:sz w:val="24"/>
        </w:rPr>
        <w:t>fell below 200 units for the first time since April as days begin to get shorter and the angle of the sun lower.</w:t>
      </w:r>
    </w:p>
    <w:p w:rsidR="00931068" w:rsidRDefault="00931068" w:rsidP="006A69B4">
      <w:pPr>
        <w:spacing w:before="360"/>
        <w:rPr>
          <w:sz w:val="24"/>
        </w:rPr>
      </w:pPr>
    </w:p>
    <w:p w:rsidR="00A20501" w:rsidRPr="009D2395" w:rsidRDefault="00A20501" w:rsidP="00A20501">
      <w:pPr>
        <w:rPr>
          <w:b/>
          <w:sz w:val="28"/>
        </w:rPr>
      </w:pPr>
      <w:r w:rsidRPr="009D2395">
        <w:rPr>
          <w:b/>
          <w:sz w:val="28"/>
        </w:rPr>
        <w:lastRenderedPageBreak/>
        <w:t>Warwick Hospital –</w:t>
      </w:r>
      <w:r>
        <w:rPr>
          <w:b/>
          <w:sz w:val="28"/>
        </w:rPr>
        <w:t xml:space="preserve"> generation to date in </w:t>
      </w:r>
      <w:r w:rsidRPr="009D2395">
        <w:rPr>
          <w:b/>
          <w:sz w:val="28"/>
        </w:rPr>
        <w:t>2013</w:t>
      </w:r>
    </w:p>
    <w:p w:rsidR="00A20501" w:rsidRPr="00551BE4" w:rsidRDefault="00A74B34" w:rsidP="00A20501">
      <w:pPr>
        <w:rPr>
          <w:sz w:val="24"/>
        </w:rPr>
      </w:pPr>
      <w:r>
        <w:rPr>
          <w:sz w:val="24"/>
        </w:rPr>
        <w:t>In the first eight</w:t>
      </w:r>
      <w:r w:rsidR="00A20501" w:rsidRPr="00551BE4">
        <w:rPr>
          <w:sz w:val="24"/>
        </w:rPr>
        <w:t xml:space="preserve"> mon</w:t>
      </w:r>
      <w:r w:rsidR="00A20501">
        <w:rPr>
          <w:sz w:val="24"/>
        </w:rPr>
        <w:t>ths of 2013, the solar PV array at Warwick Hospital has</w:t>
      </w:r>
      <w:r w:rsidR="002623C9">
        <w:rPr>
          <w:sz w:val="24"/>
        </w:rPr>
        <w:t xml:space="preserve"> </w:t>
      </w:r>
      <w:r>
        <w:rPr>
          <w:sz w:val="24"/>
        </w:rPr>
        <w:t>generated a total of 38,36</w:t>
      </w:r>
      <w:r w:rsidR="00931068">
        <w:rPr>
          <w:sz w:val="24"/>
        </w:rPr>
        <w:t>0</w:t>
      </w:r>
      <w:r w:rsidR="009D1133">
        <w:rPr>
          <w:sz w:val="24"/>
        </w:rPr>
        <w:t xml:space="preserve"> units</w:t>
      </w:r>
      <w:r>
        <w:rPr>
          <w:sz w:val="24"/>
        </w:rPr>
        <w:t>, saving over 19</w:t>
      </w:r>
      <w:r w:rsidR="00A20501" w:rsidRPr="00551BE4">
        <w:rPr>
          <w:sz w:val="24"/>
        </w:rPr>
        <w:t xml:space="preserve"> tonnes of carbon. The graph below shows the average</w:t>
      </w:r>
      <w:r w:rsidR="002623C9">
        <w:rPr>
          <w:sz w:val="24"/>
        </w:rPr>
        <w:t xml:space="preserve"> daily output in the first </w:t>
      </w:r>
      <w:r>
        <w:rPr>
          <w:sz w:val="24"/>
        </w:rPr>
        <w:t>eight</w:t>
      </w:r>
      <w:r w:rsidR="002623C9">
        <w:rPr>
          <w:sz w:val="24"/>
        </w:rPr>
        <w:t xml:space="preserve"> months</w:t>
      </w:r>
      <w:r w:rsidR="00A20501" w:rsidRPr="00551BE4">
        <w:rPr>
          <w:sz w:val="24"/>
        </w:rPr>
        <w:t xml:space="preserve"> of the year, with average daily output for 2012 shown for comparison. Note there is no data for January 2012, and data for February 2012 is for 12-29 February only.</w:t>
      </w:r>
    </w:p>
    <w:p w:rsidR="00A20501" w:rsidRDefault="00A20501" w:rsidP="00A20501">
      <w:pPr>
        <w:jc w:val="center"/>
        <w:rPr>
          <w:sz w:val="24"/>
          <w:u w:val="single"/>
        </w:rPr>
      </w:pPr>
      <w:r w:rsidRPr="00551BE4">
        <w:rPr>
          <w:sz w:val="24"/>
          <w:u w:val="single"/>
        </w:rPr>
        <w:t xml:space="preserve">Average daily output by month: </w:t>
      </w:r>
      <w:r w:rsidR="00A74B34">
        <w:rPr>
          <w:sz w:val="24"/>
          <w:u w:val="single"/>
        </w:rPr>
        <w:t>Warwick Hospital January – August</w:t>
      </w:r>
      <w:r w:rsidRPr="00551BE4">
        <w:rPr>
          <w:sz w:val="24"/>
          <w:u w:val="single"/>
        </w:rPr>
        <w:t xml:space="preserve"> 2013</w:t>
      </w:r>
    </w:p>
    <w:p w:rsidR="00A20501" w:rsidRPr="009D1133" w:rsidRDefault="00A20501" w:rsidP="00A20501">
      <w:pPr>
        <w:jc w:val="center"/>
        <w:rPr>
          <w:sz w:val="16"/>
          <w:u w:val="single"/>
        </w:rPr>
      </w:pPr>
    </w:p>
    <w:p w:rsidR="00A20501" w:rsidRDefault="00A74B34" w:rsidP="00A20501">
      <w:pPr>
        <w:jc w:val="center"/>
      </w:pPr>
      <w:r>
        <w:rPr>
          <w:noProof/>
          <w:lang w:eastAsia="en-GB"/>
        </w:rPr>
        <w:drawing>
          <wp:inline distT="0" distB="0" distL="0" distR="0" wp14:anchorId="129E6C58" wp14:editId="75C5EE05">
            <wp:extent cx="2815200" cy="1688400"/>
            <wp:effectExtent l="0" t="0" r="23495" b="2667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0501" w:rsidRPr="006A69B4" w:rsidRDefault="00A20501" w:rsidP="00A20501">
      <w:pPr>
        <w:rPr>
          <w:sz w:val="16"/>
        </w:rPr>
      </w:pPr>
    </w:p>
    <w:p w:rsidR="00273086" w:rsidRPr="009D2395" w:rsidRDefault="00273086" w:rsidP="00273086">
      <w:pPr>
        <w:rPr>
          <w:b/>
          <w:sz w:val="28"/>
        </w:rPr>
      </w:pPr>
      <w:r>
        <w:rPr>
          <w:b/>
          <w:sz w:val="28"/>
        </w:rPr>
        <w:t xml:space="preserve">Stratford </w:t>
      </w:r>
      <w:r w:rsidR="00A74B34">
        <w:rPr>
          <w:b/>
          <w:sz w:val="28"/>
        </w:rPr>
        <w:t>Hospital – performance in August</w:t>
      </w:r>
      <w:r w:rsidRPr="009D2395">
        <w:rPr>
          <w:b/>
          <w:sz w:val="28"/>
        </w:rPr>
        <w:t xml:space="preserve"> 2013</w:t>
      </w:r>
    </w:p>
    <w:p w:rsidR="00273086" w:rsidRDefault="00A74B34" w:rsidP="00273086">
      <w:pPr>
        <w:rPr>
          <w:sz w:val="24"/>
        </w:rPr>
      </w:pPr>
      <w:r>
        <w:rPr>
          <w:sz w:val="24"/>
        </w:rPr>
        <w:t>In August</w:t>
      </w:r>
      <w:r w:rsidR="00273086">
        <w:rPr>
          <w:sz w:val="24"/>
        </w:rPr>
        <w:t xml:space="preserve"> 2013 the solar PV arr</w:t>
      </w:r>
      <w:r w:rsidR="002F6364">
        <w:rPr>
          <w:sz w:val="24"/>
        </w:rPr>
        <w:t xml:space="preserve">ay at Stratford </w:t>
      </w:r>
      <w:r>
        <w:rPr>
          <w:sz w:val="24"/>
        </w:rPr>
        <w:t xml:space="preserve">Hospital </w:t>
      </w:r>
      <w:r w:rsidR="002F6364">
        <w:rPr>
          <w:sz w:val="24"/>
        </w:rPr>
        <w:t>genera</w:t>
      </w:r>
      <w:r w:rsidR="002623C9">
        <w:rPr>
          <w:sz w:val="24"/>
        </w:rPr>
        <w:t xml:space="preserve">ted a </w:t>
      </w:r>
      <w:r>
        <w:rPr>
          <w:sz w:val="24"/>
        </w:rPr>
        <w:t>total of 1,1</w:t>
      </w:r>
      <w:r w:rsidR="002623C9">
        <w:rPr>
          <w:sz w:val="24"/>
        </w:rPr>
        <w:t>97</w:t>
      </w:r>
      <w:r>
        <w:rPr>
          <w:sz w:val="24"/>
        </w:rPr>
        <w:t xml:space="preserve"> units of electricity - a</w:t>
      </w:r>
      <w:r w:rsidR="00273086">
        <w:rPr>
          <w:sz w:val="24"/>
        </w:rPr>
        <w:t>n avera</w:t>
      </w:r>
      <w:r w:rsidR="002623C9">
        <w:rPr>
          <w:sz w:val="24"/>
        </w:rPr>
        <w:t xml:space="preserve">ge </w:t>
      </w:r>
      <w:r>
        <w:rPr>
          <w:sz w:val="24"/>
        </w:rPr>
        <w:t>of 38.6</w:t>
      </w:r>
      <w:r w:rsidR="00273086">
        <w:rPr>
          <w:sz w:val="24"/>
        </w:rPr>
        <w:t xml:space="preserve"> units a day. </w:t>
      </w:r>
      <w:r>
        <w:rPr>
          <w:sz w:val="24"/>
        </w:rPr>
        <w:t>This was 400 units less than the total generated in July, but 100 units more than was generated in August 2012. Highest output was 61.5 units on 1</w:t>
      </w:r>
      <w:r w:rsidR="003C315E">
        <w:rPr>
          <w:sz w:val="24"/>
        </w:rPr>
        <w:t xml:space="preserve"> </w:t>
      </w:r>
      <w:r>
        <w:rPr>
          <w:sz w:val="24"/>
        </w:rPr>
        <w:t>August</w:t>
      </w:r>
      <w:r w:rsidR="003C315E">
        <w:rPr>
          <w:sz w:val="24"/>
        </w:rPr>
        <w:t>; l</w:t>
      </w:r>
      <w:r w:rsidR="009D1133">
        <w:rPr>
          <w:sz w:val="24"/>
        </w:rPr>
        <w:t>owest</w:t>
      </w:r>
      <w:r w:rsidR="006A69B4">
        <w:rPr>
          <w:sz w:val="24"/>
        </w:rPr>
        <w:t xml:space="preserve"> </w:t>
      </w:r>
      <w:r>
        <w:rPr>
          <w:sz w:val="24"/>
        </w:rPr>
        <w:t>output was 15.9</w:t>
      </w:r>
      <w:r w:rsidR="002F6364">
        <w:rPr>
          <w:sz w:val="24"/>
        </w:rPr>
        <w:t xml:space="preserve"> units on </w:t>
      </w:r>
      <w:r>
        <w:rPr>
          <w:sz w:val="24"/>
        </w:rPr>
        <w:t>17 August – one of</w:t>
      </w:r>
      <w:r w:rsidR="003C315E">
        <w:rPr>
          <w:sz w:val="24"/>
        </w:rPr>
        <w:t xml:space="preserve"> only </w:t>
      </w:r>
      <w:r>
        <w:rPr>
          <w:sz w:val="24"/>
        </w:rPr>
        <w:t xml:space="preserve">two </w:t>
      </w:r>
      <w:r w:rsidR="003C315E">
        <w:rPr>
          <w:sz w:val="24"/>
        </w:rPr>
        <w:t>day</w:t>
      </w:r>
      <w:r>
        <w:rPr>
          <w:sz w:val="24"/>
        </w:rPr>
        <w:t>s</w:t>
      </w:r>
      <w:r w:rsidR="003C315E">
        <w:rPr>
          <w:sz w:val="24"/>
        </w:rPr>
        <w:t xml:space="preserve"> that daily output fell below 20 units</w:t>
      </w:r>
      <w:r w:rsidR="00273086">
        <w:rPr>
          <w:sz w:val="24"/>
        </w:rPr>
        <w:t>.</w:t>
      </w:r>
      <w:r>
        <w:rPr>
          <w:sz w:val="24"/>
        </w:rPr>
        <w:t xml:space="preserve"> </w:t>
      </w:r>
      <w:r w:rsidR="00825FA8">
        <w:rPr>
          <w:sz w:val="24"/>
        </w:rPr>
        <w:t>Daily output was above 40 units on 16 days.</w:t>
      </w:r>
    </w:p>
    <w:p w:rsidR="00273086" w:rsidRDefault="00273086" w:rsidP="00273086">
      <w:pPr>
        <w:rPr>
          <w:sz w:val="24"/>
        </w:rPr>
      </w:pPr>
      <w:r>
        <w:rPr>
          <w:sz w:val="24"/>
        </w:rPr>
        <w:lastRenderedPageBreak/>
        <w:t>Ge</w:t>
      </w:r>
      <w:r w:rsidR="00825FA8">
        <w:rPr>
          <w:sz w:val="24"/>
        </w:rPr>
        <w:t>neration during August</w:t>
      </w:r>
      <w:r w:rsidR="00FA73B5">
        <w:rPr>
          <w:sz w:val="24"/>
        </w:rPr>
        <w:t xml:space="preserve"> 2013 was </w:t>
      </w:r>
      <w:r w:rsidR="00825FA8">
        <w:rPr>
          <w:sz w:val="24"/>
        </w:rPr>
        <w:t xml:space="preserve">nearly 12 </w:t>
      </w:r>
      <w:r>
        <w:rPr>
          <w:sz w:val="24"/>
        </w:rPr>
        <w:t xml:space="preserve">per cent higher than during </w:t>
      </w:r>
      <w:r w:rsidR="00825FA8">
        <w:rPr>
          <w:sz w:val="24"/>
        </w:rPr>
        <w:t>August</w:t>
      </w:r>
      <w:r w:rsidR="002E2F99">
        <w:rPr>
          <w:sz w:val="24"/>
        </w:rPr>
        <w:t xml:space="preserve"> 20</w:t>
      </w:r>
      <w:r w:rsidR="00825FA8">
        <w:rPr>
          <w:sz w:val="24"/>
        </w:rPr>
        <w:t>12.</w:t>
      </w:r>
    </w:p>
    <w:p w:rsidR="00273086" w:rsidRDefault="00273086" w:rsidP="00273086">
      <w:pPr>
        <w:jc w:val="center"/>
        <w:rPr>
          <w:sz w:val="24"/>
          <w:u w:val="single"/>
        </w:rPr>
      </w:pPr>
      <w:r>
        <w:rPr>
          <w:sz w:val="24"/>
          <w:u w:val="single"/>
        </w:rPr>
        <w:t xml:space="preserve">Daily output: Stratford upon Avon Hospital </w:t>
      </w:r>
      <w:r w:rsidR="00825FA8">
        <w:rPr>
          <w:sz w:val="24"/>
          <w:u w:val="single"/>
        </w:rPr>
        <w:t>August</w:t>
      </w:r>
      <w:r w:rsidRPr="00551BE4">
        <w:rPr>
          <w:sz w:val="24"/>
          <w:u w:val="single"/>
        </w:rPr>
        <w:t xml:space="preserve"> 2012 </w:t>
      </w:r>
      <w:r w:rsidR="00FA1420">
        <w:rPr>
          <w:sz w:val="24"/>
          <w:u w:val="single"/>
        </w:rPr>
        <w:t>(green</w:t>
      </w:r>
      <w:r>
        <w:rPr>
          <w:sz w:val="24"/>
          <w:u w:val="single"/>
        </w:rPr>
        <w:t xml:space="preserve">) </w:t>
      </w:r>
      <w:r w:rsidRPr="00551BE4">
        <w:rPr>
          <w:sz w:val="24"/>
          <w:u w:val="single"/>
        </w:rPr>
        <w:t xml:space="preserve">&amp; </w:t>
      </w:r>
      <w:r w:rsidR="00825FA8">
        <w:rPr>
          <w:sz w:val="24"/>
          <w:u w:val="single"/>
        </w:rPr>
        <w:t xml:space="preserve">August </w:t>
      </w:r>
      <w:r w:rsidRPr="00551BE4">
        <w:rPr>
          <w:sz w:val="24"/>
          <w:u w:val="single"/>
        </w:rPr>
        <w:t>2013</w:t>
      </w:r>
      <w:r>
        <w:rPr>
          <w:sz w:val="24"/>
          <w:u w:val="single"/>
        </w:rPr>
        <w:t xml:space="preserve"> (blue)</w:t>
      </w:r>
    </w:p>
    <w:p w:rsidR="00A20501" w:rsidRPr="00FA73B5" w:rsidRDefault="00A20501" w:rsidP="00A20501">
      <w:pPr>
        <w:rPr>
          <w:sz w:val="16"/>
        </w:rPr>
      </w:pPr>
    </w:p>
    <w:p w:rsidR="00A20501" w:rsidRDefault="00825FA8">
      <w:r>
        <w:rPr>
          <w:noProof/>
          <w:lang w:eastAsia="en-GB"/>
        </w:rPr>
        <w:drawing>
          <wp:inline distT="0" distB="0" distL="0" distR="0" wp14:anchorId="27F59CFC" wp14:editId="1471D370">
            <wp:extent cx="2854800" cy="1684800"/>
            <wp:effectExtent l="0" t="0" r="22225" b="10795"/>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A69B4" w:rsidRPr="006A69B4" w:rsidRDefault="006A69B4" w:rsidP="006A69B4">
      <w:pPr>
        <w:rPr>
          <w:b/>
          <w:sz w:val="16"/>
        </w:rPr>
      </w:pPr>
    </w:p>
    <w:p w:rsidR="006A69B4" w:rsidRPr="009D2395" w:rsidRDefault="006A69B4" w:rsidP="006A69B4">
      <w:pPr>
        <w:rPr>
          <w:b/>
          <w:sz w:val="28"/>
        </w:rPr>
      </w:pPr>
      <w:r>
        <w:rPr>
          <w:b/>
          <w:sz w:val="28"/>
        </w:rPr>
        <w:t>Stratford</w:t>
      </w:r>
      <w:r w:rsidRPr="009D2395">
        <w:rPr>
          <w:b/>
          <w:sz w:val="28"/>
        </w:rPr>
        <w:t xml:space="preserve"> Hospital –</w:t>
      </w:r>
      <w:r>
        <w:rPr>
          <w:b/>
          <w:sz w:val="28"/>
        </w:rPr>
        <w:t xml:space="preserve"> generation to date in </w:t>
      </w:r>
      <w:r w:rsidRPr="009D2395">
        <w:rPr>
          <w:b/>
          <w:sz w:val="28"/>
        </w:rPr>
        <w:t>2013</w:t>
      </w:r>
    </w:p>
    <w:p w:rsidR="00A716D2" w:rsidRPr="00FA73B5" w:rsidRDefault="00825FA8" w:rsidP="006A69B4">
      <w:pPr>
        <w:rPr>
          <w:sz w:val="16"/>
        </w:rPr>
      </w:pPr>
      <w:r>
        <w:rPr>
          <w:sz w:val="24"/>
        </w:rPr>
        <w:t>In the first eight</w:t>
      </w:r>
      <w:r w:rsidR="006A69B4" w:rsidRPr="00551BE4">
        <w:rPr>
          <w:sz w:val="24"/>
        </w:rPr>
        <w:t xml:space="preserve"> mon</w:t>
      </w:r>
      <w:r w:rsidR="006A69B4">
        <w:rPr>
          <w:sz w:val="24"/>
        </w:rPr>
        <w:t>ths of 2013, the solar PV array</w:t>
      </w:r>
      <w:r w:rsidR="00DD7E0E">
        <w:rPr>
          <w:sz w:val="24"/>
        </w:rPr>
        <w:t xml:space="preserve"> at Stratford</w:t>
      </w:r>
      <w:r w:rsidR="006A69B4">
        <w:rPr>
          <w:sz w:val="24"/>
        </w:rPr>
        <w:t xml:space="preserve"> Hospital has</w:t>
      </w:r>
      <w:r>
        <w:rPr>
          <w:sz w:val="24"/>
        </w:rPr>
        <w:t xml:space="preserve"> generated 7,855</w:t>
      </w:r>
      <w:r w:rsidR="006A69B4">
        <w:rPr>
          <w:sz w:val="24"/>
        </w:rPr>
        <w:t xml:space="preserve"> units – </w:t>
      </w:r>
      <w:r>
        <w:rPr>
          <w:sz w:val="24"/>
        </w:rPr>
        <w:t>equivalent to saving nearly</w:t>
      </w:r>
      <w:r w:rsidR="00FA1420">
        <w:rPr>
          <w:sz w:val="24"/>
        </w:rPr>
        <w:t xml:space="preserve"> </w:t>
      </w:r>
      <w:r>
        <w:rPr>
          <w:sz w:val="24"/>
        </w:rPr>
        <w:t>4</w:t>
      </w:r>
      <w:r w:rsidR="006A69B4">
        <w:rPr>
          <w:sz w:val="24"/>
        </w:rPr>
        <w:t xml:space="preserve"> tonnes of carbon.</w:t>
      </w:r>
    </w:p>
    <w:p w:rsidR="00A716D2" w:rsidRDefault="00825FA8">
      <w:pPr>
        <w:rPr>
          <w:b/>
          <w:sz w:val="28"/>
        </w:rPr>
      </w:pPr>
      <w:r>
        <w:rPr>
          <w:b/>
          <w:sz w:val="28"/>
        </w:rPr>
        <w:t>Generation since installation</w:t>
      </w:r>
    </w:p>
    <w:p w:rsidR="00A716D2" w:rsidRDefault="00825FA8">
      <w:pPr>
        <w:rPr>
          <w:sz w:val="24"/>
        </w:rPr>
      </w:pPr>
      <w:r>
        <w:rPr>
          <w:sz w:val="24"/>
        </w:rPr>
        <w:t>Since installation in December 2011, the array at Stratford Hospital has generated around 17,000 units, while the array at Warwick Hospital has generated approaching 84,000 units since its installation in February 2012. To</w:t>
      </w:r>
      <w:r w:rsidR="00C0269B">
        <w:rPr>
          <w:sz w:val="24"/>
        </w:rPr>
        <w:t>gether, the two arrays have now</w:t>
      </w:r>
      <w:bookmarkStart w:id="0" w:name="_GoBack"/>
      <w:bookmarkEnd w:id="0"/>
      <w:r>
        <w:rPr>
          <w:sz w:val="24"/>
        </w:rPr>
        <w:t xml:space="preserve"> generated over 100,000 units since installation.</w:t>
      </w:r>
    </w:p>
    <w:p w:rsidR="00825FA8" w:rsidRPr="00825FA8" w:rsidRDefault="00825FA8">
      <w:pPr>
        <w:rPr>
          <w:b/>
          <w:sz w:val="28"/>
        </w:rPr>
      </w:pPr>
      <w:r w:rsidRPr="00825FA8">
        <w:rPr>
          <w:b/>
          <w:sz w:val="28"/>
        </w:rPr>
        <w:t>More information</w:t>
      </w:r>
    </w:p>
    <w:p w:rsidR="00825FA8" w:rsidRPr="00825FA8" w:rsidRDefault="00825FA8">
      <w:pPr>
        <w:rPr>
          <w:sz w:val="24"/>
        </w:rPr>
      </w:pPr>
      <w:r w:rsidRPr="00825FA8">
        <w:rPr>
          <w:sz w:val="24"/>
        </w:rPr>
        <w:t>Contact</w:t>
      </w:r>
      <w:r>
        <w:rPr>
          <w:sz w:val="24"/>
        </w:rPr>
        <w:t xml:space="preserve"> Community Energy Warwickshire at </w:t>
      </w:r>
      <w:hyperlink r:id="rId9" w:history="1">
        <w:r w:rsidRPr="00C84164">
          <w:rPr>
            <w:rStyle w:val="Hyperlink"/>
            <w:sz w:val="24"/>
          </w:rPr>
          <w:t>info@cew.coop</w:t>
        </w:r>
      </w:hyperlink>
      <w:r>
        <w:rPr>
          <w:sz w:val="24"/>
        </w:rPr>
        <w:t xml:space="preserve"> for more information.</w:t>
      </w:r>
    </w:p>
    <w:sectPr w:rsidR="00825FA8" w:rsidRPr="00825FA8" w:rsidSect="00A2050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01"/>
    <w:rsid w:val="001166C0"/>
    <w:rsid w:val="00135017"/>
    <w:rsid w:val="001B4327"/>
    <w:rsid w:val="001F7E74"/>
    <w:rsid w:val="002623C9"/>
    <w:rsid w:val="00273086"/>
    <w:rsid w:val="002E2F99"/>
    <w:rsid w:val="002F6364"/>
    <w:rsid w:val="00304EA7"/>
    <w:rsid w:val="003C315E"/>
    <w:rsid w:val="003C56B4"/>
    <w:rsid w:val="003F4405"/>
    <w:rsid w:val="004D6F85"/>
    <w:rsid w:val="00577CC0"/>
    <w:rsid w:val="00694D84"/>
    <w:rsid w:val="006A69B4"/>
    <w:rsid w:val="006B1BAF"/>
    <w:rsid w:val="00825FA8"/>
    <w:rsid w:val="00931068"/>
    <w:rsid w:val="009539E7"/>
    <w:rsid w:val="009D1133"/>
    <w:rsid w:val="00A20501"/>
    <w:rsid w:val="00A716D2"/>
    <w:rsid w:val="00A7246F"/>
    <w:rsid w:val="00A74B34"/>
    <w:rsid w:val="00A90132"/>
    <w:rsid w:val="00B12ED8"/>
    <w:rsid w:val="00C0269B"/>
    <w:rsid w:val="00C335D6"/>
    <w:rsid w:val="00DD624B"/>
    <w:rsid w:val="00DD7E0E"/>
    <w:rsid w:val="00E22EE7"/>
    <w:rsid w:val="00E968E7"/>
    <w:rsid w:val="00EA0519"/>
    <w:rsid w:val="00FA1420"/>
    <w:rsid w:val="00FA7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01"/>
    <w:rPr>
      <w:rFonts w:ascii="Tahoma" w:hAnsi="Tahoma" w:cs="Tahoma"/>
      <w:sz w:val="16"/>
      <w:szCs w:val="16"/>
    </w:rPr>
  </w:style>
  <w:style w:type="character" w:styleId="Hyperlink">
    <w:name w:val="Hyperlink"/>
    <w:basedOn w:val="DefaultParagraphFont"/>
    <w:uiPriority w:val="99"/>
    <w:unhideWhenUsed/>
    <w:rsid w:val="00A716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0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01"/>
    <w:rPr>
      <w:rFonts w:ascii="Tahoma" w:hAnsi="Tahoma" w:cs="Tahoma"/>
      <w:sz w:val="16"/>
      <w:szCs w:val="16"/>
    </w:rPr>
  </w:style>
  <w:style w:type="character" w:styleId="Hyperlink">
    <w:name w:val="Hyperlink"/>
    <w:basedOn w:val="DefaultParagraphFont"/>
    <w:uiPriority w:val="99"/>
    <w:unhideWhenUsed/>
    <w:rsid w:val="00A716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cew.coo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CEW\Documents\CEW\generation\warwick\Warwick%20PV%20outputs%2020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EW\Documents\CEW\generation\warwick\Warwick%20PV%20outputs%20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EW\Documents\CEW\generation\stratford\Stratford%20PV%20outputs%20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August!$A$2:$A$32</c:f>
              <c:numCache>
                <c:formatCode>m/d/yyyy</c:formatCode>
                <c:ptCount val="31"/>
                <c:pt idx="0">
                  <c:v>41487</c:v>
                </c:pt>
                <c:pt idx="1">
                  <c:v>41488</c:v>
                </c:pt>
                <c:pt idx="2">
                  <c:v>41489</c:v>
                </c:pt>
                <c:pt idx="3">
                  <c:v>41490</c:v>
                </c:pt>
                <c:pt idx="4">
                  <c:v>41491</c:v>
                </c:pt>
                <c:pt idx="5">
                  <c:v>41492</c:v>
                </c:pt>
                <c:pt idx="6">
                  <c:v>41493</c:v>
                </c:pt>
                <c:pt idx="7">
                  <c:v>41494</c:v>
                </c:pt>
                <c:pt idx="8">
                  <c:v>41495</c:v>
                </c:pt>
                <c:pt idx="9">
                  <c:v>41496</c:v>
                </c:pt>
                <c:pt idx="10">
                  <c:v>41497</c:v>
                </c:pt>
                <c:pt idx="11">
                  <c:v>41498</c:v>
                </c:pt>
                <c:pt idx="12">
                  <c:v>41499</c:v>
                </c:pt>
                <c:pt idx="13">
                  <c:v>41500</c:v>
                </c:pt>
                <c:pt idx="14">
                  <c:v>41501</c:v>
                </c:pt>
                <c:pt idx="15">
                  <c:v>41502</c:v>
                </c:pt>
                <c:pt idx="16">
                  <c:v>41503</c:v>
                </c:pt>
                <c:pt idx="17">
                  <c:v>41504</c:v>
                </c:pt>
                <c:pt idx="18">
                  <c:v>41505</c:v>
                </c:pt>
                <c:pt idx="19">
                  <c:v>41506</c:v>
                </c:pt>
                <c:pt idx="20">
                  <c:v>41507</c:v>
                </c:pt>
                <c:pt idx="21">
                  <c:v>41508</c:v>
                </c:pt>
                <c:pt idx="22">
                  <c:v>41509</c:v>
                </c:pt>
                <c:pt idx="23">
                  <c:v>41510</c:v>
                </c:pt>
                <c:pt idx="24">
                  <c:v>41511</c:v>
                </c:pt>
                <c:pt idx="25">
                  <c:v>41512</c:v>
                </c:pt>
                <c:pt idx="26">
                  <c:v>41513</c:v>
                </c:pt>
                <c:pt idx="27">
                  <c:v>41514</c:v>
                </c:pt>
                <c:pt idx="28">
                  <c:v>41515</c:v>
                </c:pt>
                <c:pt idx="29">
                  <c:v>41516</c:v>
                </c:pt>
                <c:pt idx="30">
                  <c:v>41517</c:v>
                </c:pt>
              </c:numCache>
            </c:numRef>
          </c:cat>
          <c:val>
            <c:numRef>
              <c:f>August!$B$2:$B$32</c:f>
              <c:numCache>
                <c:formatCode>_(* #,##0.00_);_(* \(#,##0.00\);_(* "-"??_);_(@_)</c:formatCode>
                <c:ptCount val="31"/>
                <c:pt idx="0">
                  <c:v>278.661</c:v>
                </c:pt>
                <c:pt idx="1">
                  <c:v>209.83</c:v>
                </c:pt>
                <c:pt idx="2">
                  <c:v>258.697</c:v>
                </c:pt>
                <c:pt idx="3">
                  <c:v>98.986999999999995</c:v>
                </c:pt>
                <c:pt idx="4">
                  <c:v>178.92400000000001</c:v>
                </c:pt>
                <c:pt idx="5">
                  <c:v>225.483</c:v>
                </c:pt>
                <c:pt idx="6">
                  <c:v>260.62299999999999</c:v>
                </c:pt>
                <c:pt idx="7">
                  <c:v>227.95</c:v>
                </c:pt>
                <c:pt idx="8">
                  <c:v>188.02799999999999</c:v>
                </c:pt>
                <c:pt idx="9">
                  <c:v>199.76</c:v>
                </c:pt>
                <c:pt idx="10">
                  <c:v>257.86200000000002</c:v>
                </c:pt>
                <c:pt idx="11">
                  <c:v>196.74600000000001</c:v>
                </c:pt>
                <c:pt idx="12" formatCode="General">
                  <c:v>149.54599999999999</c:v>
                </c:pt>
                <c:pt idx="13" formatCode="General">
                  <c:v>166.56899999999999</c:v>
                </c:pt>
                <c:pt idx="14" formatCode="General">
                  <c:v>199.46700000000001</c:v>
                </c:pt>
                <c:pt idx="15" formatCode="General">
                  <c:v>182.988</c:v>
                </c:pt>
                <c:pt idx="16" formatCode="General">
                  <c:v>99.331999999999994</c:v>
                </c:pt>
                <c:pt idx="17" formatCode="General">
                  <c:v>271.51600000000002</c:v>
                </c:pt>
                <c:pt idx="18" formatCode="General">
                  <c:v>206.19499999999999</c:v>
                </c:pt>
                <c:pt idx="19" formatCode="General">
                  <c:v>229.48099999999999</c:v>
                </c:pt>
                <c:pt idx="20" formatCode="General">
                  <c:v>209.76300000000001</c:v>
                </c:pt>
                <c:pt idx="21" formatCode="General">
                  <c:v>142.196</c:v>
                </c:pt>
                <c:pt idx="22" formatCode="General">
                  <c:v>135.506</c:v>
                </c:pt>
                <c:pt idx="23" formatCode="General">
                  <c:v>104.071</c:v>
                </c:pt>
                <c:pt idx="24" formatCode="General">
                  <c:v>106.532</c:v>
                </c:pt>
                <c:pt idx="25" formatCode="General">
                  <c:v>207.97900000000001</c:v>
                </c:pt>
                <c:pt idx="26" formatCode="General">
                  <c:v>220.43799999999999</c:v>
                </c:pt>
                <c:pt idx="27" formatCode="General">
                  <c:v>170.946</c:v>
                </c:pt>
                <c:pt idx="28" formatCode="General">
                  <c:v>192.71100000000001</c:v>
                </c:pt>
                <c:pt idx="29" formatCode="General">
                  <c:v>175.24</c:v>
                </c:pt>
                <c:pt idx="30" formatCode="General">
                  <c:v>216.405</c:v>
                </c:pt>
              </c:numCache>
            </c:numRef>
          </c:val>
          <c:smooth val="0"/>
        </c:ser>
        <c:ser>
          <c:idx val="1"/>
          <c:order val="1"/>
          <c:spPr>
            <a:ln>
              <a:solidFill>
                <a:srgbClr val="92D050"/>
              </a:solidFill>
            </a:ln>
          </c:spPr>
          <c:marker>
            <c:symbol val="none"/>
          </c:marker>
          <c:cat>
            <c:numRef>
              <c:f>August!$A$2:$A$32</c:f>
              <c:numCache>
                <c:formatCode>m/d/yyyy</c:formatCode>
                <c:ptCount val="31"/>
                <c:pt idx="0">
                  <c:v>41487</c:v>
                </c:pt>
                <c:pt idx="1">
                  <c:v>41488</c:v>
                </c:pt>
                <c:pt idx="2">
                  <c:v>41489</c:v>
                </c:pt>
                <c:pt idx="3">
                  <c:v>41490</c:v>
                </c:pt>
                <c:pt idx="4">
                  <c:v>41491</c:v>
                </c:pt>
                <c:pt idx="5">
                  <c:v>41492</c:v>
                </c:pt>
                <c:pt idx="6">
                  <c:v>41493</c:v>
                </c:pt>
                <c:pt idx="7">
                  <c:v>41494</c:v>
                </c:pt>
                <c:pt idx="8">
                  <c:v>41495</c:v>
                </c:pt>
                <c:pt idx="9">
                  <c:v>41496</c:v>
                </c:pt>
                <c:pt idx="10">
                  <c:v>41497</c:v>
                </c:pt>
                <c:pt idx="11">
                  <c:v>41498</c:v>
                </c:pt>
                <c:pt idx="12">
                  <c:v>41499</c:v>
                </c:pt>
                <c:pt idx="13">
                  <c:v>41500</c:v>
                </c:pt>
                <c:pt idx="14">
                  <c:v>41501</c:v>
                </c:pt>
                <c:pt idx="15">
                  <c:v>41502</c:v>
                </c:pt>
                <c:pt idx="16">
                  <c:v>41503</c:v>
                </c:pt>
                <c:pt idx="17">
                  <c:v>41504</c:v>
                </c:pt>
                <c:pt idx="18">
                  <c:v>41505</c:v>
                </c:pt>
                <c:pt idx="19">
                  <c:v>41506</c:v>
                </c:pt>
                <c:pt idx="20">
                  <c:v>41507</c:v>
                </c:pt>
                <c:pt idx="21">
                  <c:v>41508</c:v>
                </c:pt>
                <c:pt idx="22">
                  <c:v>41509</c:v>
                </c:pt>
                <c:pt idx="23">
                  <c:v>41510</c:v>
                </c:pt>
                <c:pt idx="24">
                  <c:v>41511</c:v>
                </c:pt>
                <c:pt idx="25">
                  <c:v>41512</c:v>
                </c:pt>
                <c:pt idx="26">
                  <c:v>41513</c:v>
                </c:pt>
                <c:pt idx="27">
                  <c:v>41514</c:v>
                </c:pt>
                <c:pt idx="28">
                  <c:v>41515</c:v>
                </c:pt>
                <c:pt idx="29">
                  <c:v>41516</c:v>
                </c:pt>
                <c:pt idx="30">
                  <c:v>41517</c:v>
                </c:pt>
              </c:numCache>
            </c:numRef>
          </c:cat>
          <c:val>
            <c:numRef>
              <c:f>August!$C$2:$C$32</c:f>
              <c:numCache>
                <c:formatCode>_(* #,##0.00_);_(* \(#,##0.00\);_(* "-"??_);_(@_)</c:formatCode>
                <c:ptCount val="31"/>
                <c:pt idx="0">
                  <c:v>163.19999999999999</c:v>
                </c:pt>
                <c:pt idx="1">
                  <c:v>210.02</c:v>
                </c:pt>
                <c:pt idx="2">
                  <c:v>228.19</c:v>
                </c:pt>
                <c:pt idx="3">
                  <c:v>202.79</c:v>
                </c:pt>
                <c:pt idx="4">
                  <c:v>175.46</c:v>
                </c:pt>
                <c:pt idx="5">
                  <c:v>186.15</c:v>
                </c:pt>
                <c:pt idx="6">
                  <c:v>153</c:v>
                </c:pt>
                <c:pt idx="7">
                  <c:v>195.64</c:v>
                </c:pt>
                <c:pt idx="8">
                  <c:v>245.9</c:v>
                </c:pt>
                <c:pt idx="9">
                  <c:v>286.44</c:v>
                </c:pt>
                <c:pt idx="10">
                  <c:v>223.28</c:v>
                </c:pt>
                <c:pt idx="11">
                  <c:v>168.66</c:v>
                </c:pt>
                <c:pt idx="12">
                  <c:v>125.8</c:v>
                </c:pt>
                <c:pt idx="13">
                  <c:v>227.58</c:v>
                </c:pt>
                <c:pt idx="14">
                  <c:v>73.52</c:v>
                </c:pt>
                <c:pt idx="15">
                  <c:v>177.38</c:v>
                </c:pt>
                <c:pt idx="16">
                  <c:v>89.28</c:v>
                </c:pt>
                <c:pt idx="17">
                  <c:v>185</c:v>
                </c:pt>
                <c:pt idx="18">
                  <c:v>190.63</c:v>
                </c:pt>
                <c:pt idx="19">
                  <c:v>148.27000000000001</c:v>
                </c:pt>
                <c:pt idx="20">
                  <c:v>130.22999999999999</c:v>
                </c:pt>
                <c:pt idx="21">
                  <c:v>195.25</c:v>
                </c:pt>
                <c:pt idx="22">
                  <c:v>192.83</c:v>
                </c:pt>
                <c:pt idx="23">
                  <c:v>142.32</c:v>
                </c:pt>
                <c:pt idx="24">
                  <c:v>158.71</c:v>
                </c:pt>
                <c:pt idx="25">
                  <c:v>211.01</c:v>
                </c:pt>
                <c:pt idx="26">
                  <c:v>78.27</c:v>
                </c:pt>
                <c:pt idx="27">
                  <c:v>220.93</c:v>
                </c:pt>
                <c:pt idx="28">
                  <c:v>61.25</c:v>
                </c:pt>
                <c:pt idx="29">
                  <c:v>175</c:v>
                </c:pt>
                <c:pt idx="30">
                  <c:v>202.05</c:v>
                </c:pt>
              </c:numCache>
            </c:numRef>
          </c:val>
          <c:smooth val="0"/>
        </c:ser>
        <c:dLbls>
          <c:showLegendKey val="0"/>
          <c:showVal val="0"/>
          <c:showCatName val="0"/>
          <c:showSerName val="0"/>
          <c:showPercent val="0"/>
          <c:showBubbleSize val="0"/>
        </c:dLbls>
        <c:marker val="1"/>
        <c:smooth val="0"/>
        <c:axId val="65188992"/>
        <c:axId val="65190528"/>
      </c:lineChart>
      <c:dateAx>
        <c:axId val="65188992"/>
        <c:scaling>
          <c:orientation val="minMax"/>
        </c:scaling>
        <c:delete val="0"/>
        <c:axPos val="b"/>
        <c:numFmt formatCode="m/d/yyyy" sourceLinked="1"/>
        <c:majorTickMark val="out"/>
        <c:minorTickMark val="none"/>
        <c:tickLblPos val="nextTo"/>
        <c:crossAx val="65190528"/>
        <c:crosses val="autoZero"/>
        <c:auto val="1"/>
        <c:lblOffset val="100"/>
        <c:baseTimeUnit val="days"/>
      </c:dateAx>
      <c:valAx>
        <c:axId val="65190528"/>
        <c:scaling>
          <c:orientation val="minMax"/>
        </c:scaling>
        <c:delete val="0"/>
        <c:axPos val="l"/>
        <c:majorGridlines/>
        <c:numFmt formatCode="_(* #,##0.00_);_(* \(#,##0.00\);_(* &quot;-&quot;??_);_(@_)" sourceLinked="1"/>
        <c:majorTickMark val="out"/>
        <c:minorTickMark val="none"/>
        <c:tickLblPos val="nextTo"/>
        <c:crossAx val="651889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monthly!$C$27</c:f>
              <c:strCache>
                <c:ptCount val="1"/>
                <c:pt idx="0">
                  <c:v>2012</c:v>
                </c:pt>
              </c:strCache>
            </c:strRef>
          </c:tx>
          <c:invertIfNegative val="0"/>
          <c:cat>
            <c:strRef>
              <c:f>monthly!$D$26:$O$26</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monthly!$D$27:$O$27</c:f>
              <c:numCache>
                <c:formatCode>_(* #,##0.00_);_(* \(#,##0.00\);_(* "-"??_);_(@_)</c:formatCode>
                <c:ptCount val="12"/>
                <c:pt idx="1">
                  <c:v>81.022352941176464</c:v>
                </c:pt>
                <c:pt idx="2">
                  <c:v>147.03290322580645</c:v>
                </c:pt>
                <c:pt idx="3">
                  <c:v>166.035</c:v>
                </c:pt>
                <c:pt idx="4">
                  <c:v>202.54935483870963</c:v>
                </c:pt>
                <c:pt idx="5">
                  <c:v>173.14166666666668</c:v>
                </c:pt>
                <c:pt idx="6">
                  <c:v>201.59870967741941</c:v>
                </c:pt>
                <c:pt idx="7">
                  <c:v>174.96903225806457</c:v>
                </c:pt>
                <c:pt idx="8">
                  <c:v>165.9946666666666</c:v>
                </c:pt>
                <c:pt idx="9">
                  <c:v>93.547741935483884</c:v>
                </c:pt>
                <c:pt idx="10">
                  <c:v>56.42</c:v>
                </c:pt>
                <c:pt idx="11">
                  <c:v>38.799999999999997</c:v>
                </c:pt>
              </c:numCache>
            </c:numRef>
          </c:val>
        </c:ser>
        <c:ser>
          <c:idx val="1"/>
          <c:order val="1"/>
          <c:tx>
            <c:strRef>
              <c:f>monthly!$C$28</c:f>
              <c:strCache>
                <c:ptCount val="1"/>
                <c:pt idx="0">
                  <c:v>2013</c:v>
                </c:pt>
              </c:strCache>
            </c:strRef>
          </c:tx>
          <c:spPr>
            <a:solidFill>
              <a:srgbClr val="92D050"/>
            </a:solidFill>
          </c:spPr>
          <c:invertIfNegative val="0"/>
          <c:cat>
            <c:strRef>
              <c:f>monthly!$D$26:$O$26</c:f>
              <c:strCache>
                <c:ptCount val="12"/>
                <c:pt idx="0">
                  <c:v>J</c:v>
                </c:pt>
                <c:pt idx="1">
                  <c:v>F</c:v>
                </c:pt>
                <c:pt idx="2">
                  <c:v>M</c:v>
                </c:pt>
                <c:pt idx="3">
                  <c:v>A</c:v>
                </c:pt>
                <c:pt idx="4">
                  <c:v>M</c:v>
                </c:pt>
                <c:pt idx="5">
                  <c:v>J</c:v>
                </c:pt>
                <c:pt idx="6">
                  <c:v>J</c:v>
                </c:pt>
                <c:pt idx="7">
                  <c:v>A</c:v>
                </c:pt>
                <c:pt idx="8">
                  <c:v>S</c:v>
                </c:pt>
                <c:pt idx="9">
                  <c:v>O</c:v>
                </c:pt>
                <c:pt idx="10">
                  <c:v>N</c:v>
                </c:pt>
                <c:pt idx="11">
                  <c:v>D</c:v>
                </c:pt>
              </c:strCache>
            </c:strRef>
          </c:cat>
          <c:val>
            <c:numRef>
              <c:f>monthly!$D$28:$O$28</c:f>
              <c:numCache>
                <c:formatCode>General</c:formatCode>
                <c:ptCount val="12"/>
                <c:pt idx="0" formatCode="0.00">
                  <c:v>35.984516129032258</c:v>
                </c:pt>
                <c:pt idx="1">
                  <c:v>67.52</c:v>
                </c:pt>
                <c:pt idx="2">
                  <c:v>99.26</c:v>
                </c:pt>
                <c:pt idx="3" formatCode="_(* #,##0.00_);_(* \(#,##0.00\);_(* &quot;-&quot;??_);_(@_)">
                  <c:v>181.62870000000001</c:v>
                </c:pt>
                <c:pt idx="4">
                  <c:v>208.89</c:v>
                </c:pt>
                <c:pt idx="5" formatCode="_(* #,##0.00_);_(* \(#,##0.00\);_(* &quot;-&quot;??_);_(@_)">
                  <c:v>219.07026666666664</c:v>
                </c:pt>
                <c:pt idx="6" formatCode="_(* #,##0.00_);_(* \(#,##0.00\);_(* &quot;-&quot;??_);_(@_)">
                  <c:v>252.02216129032269</c:v>
                </c:pt>
                <c:pt idx="7" formatCode="_(* #,##0.00_);_(* \(#,##0.00\);_(* &quot;-&quot;??_);_(@_)">
                  <c:v>192.53006451612904</c:v>
                </c:pt>
              </c:numCache>
            </c:numRef>
          </c:val>
        </c:ser>
        <c:dLbls>
          <c:showLegendKey val="0"/>
          <c:showVal val="0"/>
          <c:showCatName val="0"/>
          <c:showSerName val="0"/>
          <c:showPercent val="0"/>
          <c:showBubbleSize val="0"/>
        </c:dLbls>
        <c:gapWidth val="150"/>
        <c:axId val="65201664"/>
        <c:axId val="65203200"/>
      </c:barChart>
      <c:catAx>
        <c:axId val="65201664"/>
        <c:scaling>
          <c:orientation val="minMax"/>
        </c:scaling>
        <c:delete val="0"/>
        <c:axPos val="b"/>
        <c:majorTickMark val="out"/>
        <c:minorTickMark val="none"/>
        <c:tickLblPos val="nextTo"/>
        <c:crossAx val="65203200"/>
        <c:crosses val="autoZero"/>
        <c:auto val="1"/>
        <c:lblAlgn val="ctr"/>
        <c:lblOffset val="100"/>
        <c:noMultiLvlLbl val="0"/>
      </c:catAx>
      <c:valAx>
        <c:axId val="65203200"/>
        <c:scaling>
          <c:orientation val="minMax"/>
        </c:scaling>
        <c:delete val="0"/>
        <c:axPos val="l"/>
        <c:majorGridlines/>
        <c:numFmt formatCode="_(* #,##0.00_);_(* \(#,##0.00\);_(* &quot;-&quot;??_);_(@_)" sourceLinked="1"/>
        <c:majorTickMark val="out"/>
        <c:minorTickMark val="none"/>
        <c:tickLblPos val="nextTo"/>
        <c:crossAx val="652016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August!$A$2:$A$32</c:f>
              <c:numCache>
                <c:formatCode>m/d/yyyy</c:formatCode>
                <c:ptCount val="31"/>
                <c:pt idx="0">
                  <c:v>41487</c:v>
                </c:pt>
                <c:pt idx="1">
                  <c:v>41488</c:v>
                </c:pt>
                <c:pt idx="2">
                  <c:v>41489</c:v>
                </c:pt>
                <c:pt idx="3">
                  <c:v>41490</c:v>
                </c:pt>
                <c:pt idx="4">
                  <c:v>41491</c:v>
                </c:pt>
                <c:pt idx="5">
                  <c:v>41492</c:v>
                </c:pt>
                <c:pt idx="6">
                  <c:v>41493</c:v>
                </c:pt>
                <c:pt idx="7">
                  <c:v>41494</c:v>
                </c:pt>
                <c:pt idx="8">
                  <c:v>41495</c:v>
                </c:pt>
                <c:pt idx="9">
                  <c:v>41496</c:v>
                </c:pt>
                <c:pt idx="10">
                  <c:v>41497</c:v>
                </c:pt>
                <c:pt idx="11">
                  <c:v>41498</c:v>
                </c:pt>
                <c:pt idx="12">
                  <c:v>41499</c:v>
                </c:pt>
                <c:pt idx="13">
                  <c:v>41500</c:v>
                </c:pt>
                <c:pt idx="14">
                  <c:v>41501</c:v>
                </c:pt>
                <c:pt idx="15">
                  <c:v>41502</c:v>
                </c:pt>
                <c:pt idx="16">
                  <c:v>41503</c:v>
                </c:pt>
                <c:pt idx="17">
                  <c:v>41504</c:v>
                </c:pt>
                <c:pt idx="18">
                  <c:v>41505</c:v>
                </c:pt>
                <c:pt idx="19">
                  <c:v>41506</c:v>
                </c:pt>
                <c:pt idx="20">
                  <c:v>41507</c:v>
                </c:pt>
                <c:pt idx="21">
                  <c:v>41508</c:v>
                </c:pt>
                <c:pt idx="22">
                  <c:v>41509</c:v>
                </c:pt>
                <c:pt idx="23">
                  <c:v>41510</c:v>
                </c:pt>
                <c:pt idx="24">
                  <c:v>41511</c:v>
                </c:pt>
                <c:pt idx="25">
                  <c:v>41512</c:v>
                </c:pt>
                <c:pt idx="26">
                  <c:v>41513</c:v>
                </c:pt>
                <c:pt idx="27">
                  <c:v>41514</c:v>
                </c:pt>
                <c:pt idx="28">
                  <c:v>41515</c:v>
                </c:pt>
                <c:pt idx="29">
                  <c:v>41516</c:v>
                </c:pt>
                <c:pt idx="30">
                  <c:v>41517</c:v>
                </c:pt>
              </c:numCache>
            </c:numRef>
          </c:cat>
          <c:val>
            <c:numRef>
              <c:f>August!$B$2:$B$32</c:f>
              <c:numCache>
                <c:formatCode>_(* #,##0.00_);_(* \(#,##0.00\);_(* "-"??_);_(@_)</c:formatCode>
                <c:ptCount val="31"/>
                <c:pt idx="0">
                  <c:v>61.474800000000002</c:v>
                </c:pt>
                <c:pt idx="1">
                  <c:v>47.540199999999999</c:v>
                </c:pt>
                <c:pt idx="2">
                  <c:v>55.210599999999999</c:v>
                </c:pt>
                <c:pt idx="3">
                  <c:v>18.789100000000001</c:v>
                </c:pt>
                <c:pt idx="4">
                  <c:v>34.273400000000002</c:v>
                </c:pt>
                <c:pt idx="5">
                  <c:v>46.119399999999999</c:v>
                </c:pt>
                <c:pt idx="6">
                  <c:v>49.745100000000001</c:v>
                </c:pt>
                <c:pt idx="7">
                  <c:v>43.198300000000003</c:v>
                </c:pt>
                <c:pt idx="8">
                  <c:v>36.108199999999997</c:v>
                </c:pt>
                <c:pt idx="9">
                  <c:v>44.151600000000002</c:v>
                </c:pt>
                <c:pt idx="10">
                  <c:v>47.131</c:v>
                </c:pt>
                <c:pt idx="11">
                  <c:v>32.4955</c:v>
                </c:pt>
                <c:pt idx="12">
                  <c:v>26.0184</c:v>
                </c:pt>
                <c:pt idx="13">
                  <c:v>25.621400000000001</c:v>
                </c:pt>
                <c:pt idx="14">
                  <c:v>42.521900000000002</c:v>
                </c:pt>
                <c:pt idx="15">
                  <c:v>43.720599999999997</c:v>
                </c:pt>
                <c:pt idx="16">
                  <c:v>15.875500000000001</c:v>
                </c:pt>
                <c:pt idx="17">
                  <c:v>46.498600000000003</c:v>
                </c:pt>
                <c:pt idx="18">
                  <c:v>38.382199999999997</c:v>
                </c:pt>
                <c:pt idx="19">
                  <c:v>45.772799999999997</c:v>
                </c:pt>
                <c:pt idx="20">
                  <c:v>46.910800000000002</c:v>
                </c:pt>
                <c:pt idx="21">
                  <c:v>34.917400000000001</c:v>
                </c:pt>
                <c:pt idx="22">
                  <c:v>24.759</c:v>
                </c:pt>
                <c:pt idx="23">
                  <c:v>25.5791</c:v>
                </c:pt>
                <c:pt idx="24">
                  <c:v>23.563700000000001</c:v>
                </c:pt>
                <c:pt idx="25">
                  <c:v>45.786700000000003</c:v>
                </c:pt>
                <c:pt idx="26">
                  <c:v>44.816899999999997</c:v>
                </c:pt>
                <c:pt idx="27">
                  <c:v>37.629800000000003</c:v>
                </c:pt>
                <c:pt idx="28">
                  <c:v>32.897799999999997</c:v>
                </c:pt>
                <c:pt idx="29">
                  <c:v>34.616399999999999</c:v>
                </c:pt>
                <c:pt idx="30">
                  <c:v>45.097999999999999</c:v>
                </c:pt>
              </c:numCache>
            </c:numRef>
          </c:val>
          <c:smooth val="0"/>
        </c:ser>
        <c:ser>
          <c:idx val="1"/>
          <c:order val="1"/>
          <c:spPr>
            <a:ln>
              <a:solidFill>
                <a:srgbClr val="92D050"/>
              </a:solidFill>
            </a:ln>
          </c:spPr>
          <c:marker>
            <c:symbol val="none"/>
          </c:marker>
          <c:cat>
            <c:numRef>
              <c:f>August!$A$2:$A$32</c:f>
              <c:numCache>
                <c:formatCode>m/d/yyyy</c:formatCode>
                <c:ptCount val="31"/>
                <c:pt idx="0">
                  <c:v>41487</c:v>
                </c:pt>
                <c:pt idx="1">
                  <c:v>41488</c:v>
                </c:pt>
                <c:pt idx="2">
                  <c:v>41489</c:v>
                </c:pt>
                <c:pt idx="3">
                  <c:v>41490</c:v>
                </c:pt>
                <c:pt idx="4">
                  <c:v>41491</c:v>
                </c:pt>
                <c:pt idx="5">
                  <c:v>41492</c:v>
                </c:pt>
                <c:pt idx="6">
                  <c:v>41493</c:v>
                </c:pt>
                <c:pt idx="7">
                  <c:v>41494</c:v>
                </c:pt>
                <c:pt idx="8">
                  <c:v>41495</c:v>
                </c:pt>
                <c:pt idx="9">
                  <c:v>41496</c:v>
                </c:pt>
                <c:pt idx="10">
                  <c:v>41497</c:v>
                </c:pt>
                <c:pt idx="11">
                  <c:v>41498</c:v>
                </c:pt>
                <c:pt idx="12">
                  <c:v>41499</c:v>
                </c:pt>
                <c:pt idx="13">
                  <c:v>41500</c:v>
                </c:pt>
                <c:pt idx="14">
                  <c:v>41501</c:v>
                </c:pt>
                <c:pt idx="15">
                  <c:v>41502</c:v>
                </c:pt>
                <c:pt idx="16">
                  <c:v>41503</c:v>
                </c:pt>
                <c:pt idx="17">
                  <c:v>41504</c:v>
                </c:pt>
                <c:pt idx="18">
                  <c:v>41505</c:v>
                </c:pt>
                <c:pt idx="19">
                  <c:v>41506</c:v>
                </c:pt>
                <c:pt idx="20">
                  <c:v>41507</c:v>
                </c:pt>
                <c:pt idx="21">
                  <c:v>41508</c:v>
                </c:pt>
                <c:pt idx="22">
                  <c:v>41509</c:v>
                </c:pt>
                <c:pt idx="23">
                  <c:v>41510</c:v>
                </c:pt>
                <c:pt idx="24">
                  <c:v>41511</c:v>
                </c:pt>
                <c:pt idx="25">
                  <c:v>41512</c:v>
                </c:pt>
                <c:pt idx="26">
                  <c:v>41513</c:v>
                </c:pt>
                <c:pt idx="27">
                  <c:v>41514</c:v>
                </c:pt>
                <c:pt idx="28">
                  <c:v>41515</c:v>
                </c:pt>
                <c:pt idx="29">
                  <c:v>41516</c:v>
                </c:pt>
                <c:pt idx="30">
                  <c:v>41517</c:v>
                </c:pt>
              </c:numCache>
            </c:numRef>
          </c:cat>
          <c:val>
            <c:numRef>
              <c:f>August!$C$2:$C$32</c:f>
              <c:numCache>
                <c:formatCode>_(* #,##0.00_);_(* \(#,##0.00\);_(* "-"??_);_(@_)</c:formatCode>
                <c:ptCount val="31"/>
                <c:pt idx="0">
                  <c:v>32.369999999999997</c:v>
                </c:pt>
                <c:pt idx="1">
                  <c:v>39.51</c:v>
                </c:pt>
                <c:pt idx="2">
                  <c:v>40.130000000000003</c:v>
                </c:pt>
                <c:pt idx="3">
                  <c:v>36.71</c:v>
                </c:pt>
                <c:pt idx="4">
                  <c:v>32.42</c:v>
                </c:pt>
                <c:pt idx="5">
                  <c:v>42.73</c:v>
                </c:pt>
                <c:pt idx="6">
                  <c:v>34.950000000000003</c:v>
                </c:pt>
                <c:pt idx="7">
                  <c:v>41.73</c:v>
                </c:pt>
                <c:pt idx="8">
                  <c:v>54.23</c:v>
                </c:pt>
                <c:pt idx="9">
                  <c:v>57.32</c:v>
                </c:pt>
                <c:pt idx="10">
                  <c:v>46.25</c:v>
                </c:pt>
                <c:pt idx="11">
                  <c:v>26.71</c:v>
                </c:pt>
                <c:pt idx="12">
                  <c:v>29.67</c:v>
                </c:pt>
                <c:pt idx="13">
                  <c:v>39.85</c:v>
                </c:pt>
                <c:pt idx="14">
                  <c:v>16.04</c:v>
                </c:pt>
                <c:pt idx="15">
                  <c:v>31.6</c:v>
                </c:pt>
                <c:pt idx="16">
                  <c:v>19.93</c:v>
                </c:pt>
                <c:pt idx="17">
                  <c:v>34.81</c:v>
                </c:pt>
                <c:pt idx="18">
                  <c:v>42.18</c:v>
                </c:pt>
                <c:pt idx="19">
                  <c:v>31.92</c:v>
                </c:pt>
                <c:pt idx="20">
                  <c:v>27.23</c:v>
                </c:pt>
                <c:pt idx="21">
                  <c:v>37.04</c:v>
                </c:pt>
                <c:pt idx="22">
                  <c:v>35.6</c:v>
                </c:pt>
                <c:pt idx="23">
                  <c:v>23.37</c:v>
                </c:pt>
                <c:pt idx="24">
                  <c:v>34.880000000000003</c:v>
                </c:pt>
                <c:pt idx="25">
                  <c:v>45.85</c:v>
                </c:pt>
                <c:pt idx="26">
                  <c:v>14.01</c:v>
                </c:pt>
                <c:pt idx="27">
                  <c:v>42.33</c:v>
                </c:pt>
                <c:pt idx="28">
                  <c:v>14.63</c:v>
                </c:pt>
                <c:pt idx="29">
                  <c:v>28.26</c:v>
                </c:pt>
                <c:pt idx="30">
                  <c:v>37.9</c:v>
                </c:pt>
              </c:numCache>
            </c:numRef>
          </c:val>
          <c:smooth val="0"/>
        </c:ser>
        <c:dLbls>
          <c:showLegendKey val="0"/>
          <c:showVal val="0"/>
          <c:showCatName val="0"/>
          <c:showSerName val="0"/>
          <c:showPercent val="0"/>
          <c:showBubbleSize val="0"/>
        </c:dLbls>
        <c:marker val="1"/>
        <c:smooth val="0"/>
        <c:axId val="64421248"/>
        <c:axId val="65152128"/>
      </c:lineChart>
      <c:dateAx>
        <c:axId val="64421248"/>
        <c:scaling>
          <c:orientation val="minMax"/>
        </c:scaling>
        <c:delete val="0"/>
        <c:axPos val="b"/>
        <c:numFmt formatCode="m/d/yyyy" sourceLinked="1"/>
        <c:majorTickMark val="out"/>
        <c:minorTickMark val="none"/>
        <c:tickLblPos val="nextTo"/>
        <c:crossAx val="65152128"/>
        <c:crosses val="autoZero"/>
        <c:auto val="1"/>
        <c:lblOffset val="100"/>
        <c:baseTimeUnit val="days"/>
      </c:dateAx>
      <c:valAx>
        <c:axId val="65152128"/>
        <c:scaling>
          <c:orientation val="minMax"/>
          <c:max val="80"/>
        </c:scaling>
        <c:delete val="0"/>
        <c:axPos val="l"/>
        <c:majorGridlines/>
        <c:numFmt formatCode="_(* #,##0.00_);_(* \(#,##0.00\);_(* &quot;-&quot;??_);_(@_)" sourceLinked="1"/>
        <c:majorTickMark val="out"/>
        <c:minorTickMark val="none"/>
        <c:tickLblPos val="nextTo"/>
        <c:crossAx val="644212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at CEW</dc:creator>
  <cp:lastModifiedBy>Roger at CEW</cp:lastModifiedBy>
  <cp:revision>4</cp:revision>
  <cp:lastPrinted>2013-06-14T17:08:00Z</cp:lastPrinted>
  <dcterms:created xsi:type="dcterms:W3CDTF">2013-09-01T15:22:00Z</dcterms:created>
  <dcterms:modified xsi:type="dcterms:W3CDTF">2013-09-02T05:49:00Z</dcterms:modified>
</cp:coreProperties>
</file>